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/>
        <w:ind w:hanging="2" w:left="0"/>
        <w:jc w:val="center"/>
        <w:rPr>
          <w:rFonts w:eastAsia="Merriweather"/>
          <w:b/>
          <w:u w:val="single"/>
        </w:rPr>
      </w:pPr>
      <w:bookmarkStart w:id="0" w:name="_GoBack"/>
      <w:bookmarkEnd w:id="0"/>
      <w:r>
        <mc:AlternateContent>
          <mc:Choice Requires="wps">
            <w:drawing>
              <wp:anchor behindDoc="0" distT="0" distB="0" distL="635" distR="0" simplePos="0" locked="0" layoutInCell="1" allowOverlap="1" relativeHeight="29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0" r="0" b="0"/>
                <wp:wrapNone/>
                <wp:docPr id="1" name="Forma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Forma1" path="m0,0l-2147483645,0l-2147483645,-2147483646l0,-2147483646xe" stroked="f" o:allowincell="f" style="position:absolute;margin-left:0.05pt;margin-top:0.05pt;width:49.95pt;height:49.95pt;mso-wrap-style:none;v-text-anchor:middle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  <w:r>
        <w:rPr>
          <w:b/>
          <w:u w:val="single"/>
        </w:rPr>
        <w:t>ESTUDO TÉCNICO PRELIMINAR (ETP)</w:t>
      </w:r>
    </w:p>
    <w:p>
      <w:pPr>
        <w:pStyle w:val="Normal"/>
        <w:spacing w:lineRule="auto" w:line="360"/>
        <w:ind w:hanging="2" w:left="0"/>
        <w:jc w:val="both"/>
        <w:rPr>
          <w:rFonts w:eastAsia="Merriweather"/>
        </w:rPr>
      </w:pPr>
      <w:r>
        <w:rPr>
          <w:rFonts w:eastAsia="Merriweather"/>
          <w:b/>
        </w:rPr>
        <w:t>I - Informações Gerais</w:t>
      </w:r>
      <w:r>
        <w:rPr>
          <w:rFonts w:eastAsia="Merriweather"/>
        </w:rPr>
        <w:t>:</w:t>
      </w:r>
    </w:p>
    <w:p>
      <w:pPr>
        <w:pStyle w:val="BodyText"/>
        <w:rPr>
          <w:b/>
          <w:bCs/>
        </w:rPr>
      </w:pPr>
      <w:r>
        <w:rPr>
          <w:rFonts w:eastAsia="Merriweather"/>
          <w:b/>
          <w:bCs/>
        </w:rPr>
        <w:t xml:space="preserve">Contratação de empresa  para execução de obra de drenagem pluvial urbana, em atenção ao ofício expedido pelo Ministério Público do Estado do Paraná, que indicou a necessidade urgente de solução definitiva para os problemas recorrentes de alagamento e escoamento inadequado na região do Loteamento Yara, Vila União, Município de Bandeirantes – PR. </w:t>
      </w:r>
    </w:p>
    <w:p>
      <w:pPr>
        <w:pStyle w:val="Normal"/>
        <w:spacing w:lineRule="auto" w:line="360"/>
        <w:ind w:hanging="0" w:left="0"/>
        <w:jc w:val="both"/>
        <w:rPr>
          <w:rFonts w:eastAsia="Merriweather"/>
        </w:rPr>
      </w:pPr>
      <w:r>
        <w:rPr>
          <w:rFonts w:eastAsia="Merriweather"/>
        </w:rPr>
        <w:t>1. Processo Administrativo:</w:t>
      </w:r>
    </w:p>
    <w:p>
      <w:pPr>
        <w:pStyle w:val="Normal"/>
        <w:spacing w:lineRule="auto" w:line="360"/>
        <w:ind w:hanging="0" w:left="0"/>
        <w:jc w:val="both"/>
        <w:rPr>
          <w:rFonts w:eastAsia="Merriweather"/>
        </w:rPr>
      </w:pPr>
      <w:r>
        <w:rPr>
          <w:rFonts w:eastAsia="Merriweather"/>
        </w:rPr>
      </w:r>
    </w:p>
    <w:p>
      <w:pPr>
        <w:pStyle w:val="Normal"/>
        <w:spacing w:lineRule="auto" w:line="360"/>
        <w:ind w:hanging="0" w:left="0"/>
        <w:jc w:val="both"/>
        <w:rPr>
          <w:rFonts w:eastAsia="Merriweather"/>
        </w:rPr>
      </w:pPr>
      <w:r>
        <w:rPr>
          <w:rFonts w:eastAsia="Merriweather"/>
        </w:rPr>
        <w:t xml:space="preserve">2. Setor Requisitante: </w:t>
      </w:r>
      <w:r>
        <w:rPr>
          <w:rFonts w:eastAsia="Merriweather"/>
          <w:b/>
          <w:bCs/>
        </w:rPr>
        <w:t>Secretaria de Obras</w:t>
      </w:r>
    </w:p>
    <w:p>
      <w:pPr>
        <w:pStyle w:val="Normal"/>
        <w:spacing w:lineRule="auto" w:line="360"/>
        <w:ind w:hanging="0" w:left="0"/>
        <w:jc w:val="both"/>
        <w:rPr>
          <w:rFonts w:eastAsia="Merriweather"/>
        </w:rPr>
      </w:pPr>
      <w:r>
        <w:rPr>
          <w:rFonts w:eastAsia="Merriweather"/>
        </w:rPr>
      </w:r>
    </w:p>
    <w:p>
      <w:pPr>
        <w:pStyle w:val="Normal"/>
        <w:spacing w:lineRule="auto" w:line="360"/>
        <w:ind w:hanging="0" w:left="0"/>
        <w:jc w:val="both"/>
        <w:rPr>
          <w:rFonts w:eastAsia="Merriweather"/>
        </w:rPr>
      </w:pPr>
      <w:r>
        <w:rPr>
          <w:rFonts w:eastAsia="Merriweather"/>
        </w:rPr>
        <w:t>3. Equipe de Planejamento da Contratação:</w:t>
      </w:r>
    </w:p>
    <w:p>
      <w:pPr>
        <w:pStyle w:val="Normal"/>
        <w:spacing w:lineRule="auto" w:line="360"/>
        <w:ind w:hanging="0" w:left="0"/>
        <w:jc w:val="both"/>
        <w:rPr>
          <w:rFonts w:eastAsia="Merriweather"/>
        </w:rPr>
      </w:pPr>
      <w:r>
        <w:rPr>
          <w:rFonts w:eastAsia="Merriweather"/>
        </w:rPr>
      </w:r>
    </w:p>
    <w:tbl>
      <w:tblPr>
        <w:tblStyle w:val="Tabelacomgrade"/>
        <w:tblW w:w="9062" w:type="dxa"/>
        <w:jc w:val="left"/>
        <w:tblInd w:w="0" w:type="dxa"/>
        <w:tblLayout w:type="fixed"/>
        <w:tblCellMar>
          <w:top w:w="55" w:type="dxa"/>
          <w:left w:w="108" w:type="dxa"/>
          <w:bottom w:w="55" w:type="dxa"/>
          <w:right w:w="108" w:type="dxa"/>
        </w:tblCellMar>
        <w:tblLook w:firstRow="1" w:noVBand="1" w:lastRow="0" w:firstColumn="1" w:lastColumn="0" w:noHBand="0" w:val="04a0"/>
      </w:tblPr>
      <w:tblGrid>
        <w:gridCol w:w="4531"/>
        <w:gridCol w:w="4530"/>
      </w:tblGrid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76" w:before="0" w:after="0"/>
              <w:ind w:hanging="0" w:left="0"/>
              <w:jc w:val="center"/>
              <w:rPr>
                <w:rFonts w:ascii="Times New Roman" w:hAnsi="Times New Roman"/>
              </w:rPr>
            </w:pPr>
            <w:r>
              <w:rPr>
                <w:rFonts w:eastAsia="Merriweather" w:cs="Arial"/>
                <w:b/>
                <w:kern w:val="0"/>
                <w:sz w:val="24"/>
                <w:szCs w:val="24"/>
                <w:lang w:val="pt-BR" w:eastAsia="pt-BR" w:bidi="ar-SA"/>
              </w:rPr>
              <w:t>Servidor(a)</w:t>
            </w:r>
          </w:p>
        </w:tc>
        <w:tc>
          <w:tcPr>
            <w:tcW w:w="45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76" w:before="0" w:after="0"/>
              <w:ind w:hanging="0" w:left="0"/>
              <w:jc w:val="center"/>
              <w:rPr>
                <w:rFonts w:ascii="Times New Roman" w:hAnsi="Times New Roman"/>
              </w:rPr>
            </w:pPr>
            <w:r>
              <w:rPr>
                <w:rFonts w:eastAsia="Merriweather" w:cs="Arial"/>
                <w:b/>
                <w:kern w:val="0"/>
                <w:sz w:val="24"/>
                <w:szCs w:val="24"/>
                <w:lang w:val="pt-BR" w:eastAsia="pt-BR" w:bidi="ar-SA"/>
              </w:rPr>
              <w:t>Função</w:t>
            </w:r>
          </w:p>
        </w:tc>
      </w:tr>
      <w:tr>
        <w:trPr/>
        <w:tc>
          <w:tcPr>
            <w:tcW w:w="453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76" w:before="0" w:after="0"/>
              <w:ind w:hanging="0" w:left="0"/>
              <w:jc w:val="both"/>
              <w:rPr>
                <w:rFonts w:ascii="Times New Roman" w:hAnsi="Times New Roman"/>
              </w:rPr>
            </w:pPr>
            <w:r>
              <w:rPr>
                <w:rFonts w:eastAsia="Merriweather" w:cs="Arial"/>
                <w:kern w:val="0"/>
                <w:sz w:val="24"/>
                <w:szCs w:val="24"/>
                <w:lang w:val="pt-BR" w:eastAsia="pt-BR" w:bidi="ar-SA"/>
              </w:rPr>
              <w:t>Rômulo Ramalho Farias</w:t>
            </w:r>
          </w:p>
        </w:tc>
        <w:tc>
          <w:tcPr>
            <w:tcW w:w="4530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76" w:before="0" w:after="0"/>
              <w:ind w:hanging="0" w:left="0"/>
              <w:jc w:val="both"/>
              <w:rPr>
                <w:rFonts w:ascii="Times New Roman" w:hAnsi="Times New Roman"/>
              </w:rPr>
            </w:pPr>
            <w:r>
              <w:rPr>
                <w:rFonts w:eastAsia="Merriweather" w:cs="Arial"/>
                <w:kern w:val="0"/>
                <w:sz w:val="24"/>
                <w:szCs w:val="24"/>
                <w:lang w:val="pt-BR" w:eastAsia="pt-BR" w:bidi="ar-SA"/>
              </w:rPr>
              <w:t>Secretário de Obras</w:t>
            </w:r>
          </w:p>
        </w:tc>
      </w:tr>
    </w:tbl>
    <w:p>
      <w:pPr>
        <w:pStyle w:val="Normal"/>
        <w:spacing w:lineRule="auto" w:line="360"/>
        <w:ind w:hanging="0" w:left="0"/>
        <w:jc w:val="both"/>
        <w:rPr>
          <w:rFonts w:eastAsia="Merriweather"/>
        </w:rPr>
      </w:pPr>
      <w:r>
        <w:rPr>
          <w:rFonts w:eastAsia="Merriweather"/>
        </w:rPr>
      </w:r>
    </w:p>
    <w:p>
      <w:pPr>
        <w:pStyle w:val="Normal"/>
        <w:spacing w:lineRule="auto" w:line="360"/>
        <w:ind w:hanging="0" w:left="0"/>
        <w:jc w:val="both"/>
        <w:rPr>
          <w:rFonts w:eastAsia="Merriweather"/>
        </w:rPr>
      </w:pPr>
      <w:r>
        <w:rPr>
          <w:rFonts w:eastAsia="Merriweather"/>
          <w:b/>
        </w:rPr>
        <w:t>II - Diagnóstico da Situação Atual</w:t>
      </w:r>
      <w:r>
        <w:rPr>
          <w:rFonts w:eastAsia="Merriweather"/>
        </w:rPr>
        <w:t>:</w:t>
      </w:r>
    </w:p>
    <w:p>
      <w:pPr>
        <w:pStyle w:val="Normal"/>
        <w:numPr>
          <w:ilvl w:val="0"/>
          <w:numId w:val="3"/>
        </w:numPr>
        <w:spacing w:lineRule="auto" w:line="360"/>
        <w:ind w:hanging="2" w:left="0"/>
        <w:jc w:val="both"/>
        <w:rPr>
          <w:b/>
          <w:bCs/>
        </w:rPr>
      </w:pPr>
      <w:r>
        <w:rPr>
          <w:rFonts w:eastAsia="Merriweather"/>
          <w:b/>
          <w:bCs/>
        </w:rPr>
        <w:t>Descrição do problema a ser resolvido ou da necessidade apresentada (artigo 15, caput,§1º do Decreto nº 3.537/2023):</w:t>
      </w:r>
    </w:p>
    <w:p>
      <w:pPr>
        <w:pStyle w:val="BodyText"/>
        <w:rPr/>
      </w:pPr>
      <w:r>
        <w:rPr>
          <w:rStyle w:val="Strong"/>
          <w:b w:val="false"/>
          <w:bCs w:val="false"/>
        </w:rPr>
        <w:t>A presente demanda decorre de recomendação formal encaminhada pelo Ministério Público do Estado do Paraná, por meio de ofício, na qual se orienta o Município de Bandeirantes a adotar medidas para sanar os recorrentes problemas de drenagem pluvial na região do Loteamento Yara e suas adjacências.</w:t>
      </w:r>
    </w:p>
    <w:p>
      <w:pPr>
        <w:pStyle w:val="BodyText"/>
        <w:rPr/>
      </w:pPr>
      <w:r>
        <w:rPr>
          <w:b w:val="false"/>
          <w:bCs w:val="false"/>
        </w:rPr>
        <w:t xml:space="preserve">A área em questão, situada no bairro </w:t>
      </w:r>
      <w:r>
        <w:rPr>
          <w:rStyle w:val="Strong"/>
          <w:b w:val="false"/>
          <w:bCs w:val="false"/>
        </w:rPr>
        <w:t>Vila União</w:t>
      </w:r>
      <w:r>
        <w:rPr>
          <w:b w:val="false"/>
          <w:bCs w:val="false"/>
        </w:rPr>
        <w:t xml:space="preserve">, é uma </w:t>
      </w:r>
      <w:r>
        <w:rPr>
          <w:rStyle w:val="Strong"/>
          <w:b w:val="false"/>
          <w:bCs w:val="false"/>
        </w:rPr>
        <w:t>zona urbana em expansão</w:t>
      </w:r>
      <w:r>
        <w:rPr>
          <w:b w:val="false"/>
          <w:bCs w:val="false"/>
        </w:rPr>
        <w:t xml:space="preserve">, com crescente ocupação e </w:t>
      </w:r>
      <w:r>
        <w:rPr>
          <w:rStyle w:val="Strong"/>
          <w:b w:val="false"/>
          <w:bCs w:val="false"/>
        </w:rPr>
        <w:t>pavimentação parcialmente executada</w:t>
      </w:r>
      <w:r>
        <w:rPr>
          <w:b w:val="false"/>
          <w:bCs w:val="false"/>
        </w:rPr>
        <w:t xml:space="preserve">, mas </w:t>
      </w:r>
      <w:r>
        <w:rPr>
          <w:rStyle w:val="Strong"/>
          <w:b w:val="false"/>
          <w:bCs w:val="false"/>
        </w:rPr>
        <w:t>sem infraestrutura adequada de drenagem pluvial</w:t>
      </w:r>
      <w:r>
        <w:rPr>
          <w:b w:val="false"/>
          <w:bCs w:val="false"/>
        </w:rPr>
        <w:t xml:space="preserve">. A inexistência de bocas de lobo, tubos coletores e sistemas de dissipação provoca </w:t>
      </w:r>
      <w:r>
        <w:rPr>
          <w:rStyle w:val="Strong"/>
          <w:b w:val="false"/>
          <w:bCs w:val="false"/>
        </w:rPr>
        <w:t>acúmulo de águas pluviais nas vias públicas</w:t>
      </w:r>
      <w:r>
        <w:rPr>
          <w:b w:val="false"/>
          <w:bCs w:val="false"/>
        </w:rPr>
        <w:t xml:space="preserve">, erosão do solo e </w:t>
      </w:r>
      <w:r>
        <w:rPr>
          <w:rStyle w:val="Strong"/>
          <w:b w:val="false"/>
          <w:bCs w:val="false"/>
        </w:rPr>
        <w:t>deterioração acelerada do pavimento</w:t>
      </w:r>
      <w:r>
        <w:rPr>
          <w:b w:val="false"/>
          <w:bCs w:val="false"/>
        </w:rPr>
        <w:t>, colocando em risco a segurança de pedestres, veículos e imóveis vizinhos.</w:t>
      </w:r>
    </w:p>
    <w:p>
      <w:pPr>
        <w:pStyle w:val="BodyText"/>
        <w:rPr/>
      </w:pPr>
      <w:r>
        <w:rPr>
          <w:b w:val="false"/>
          <w:bCs w:val="false"/>
        </w:rPr>
        <w:t xml:space="preserve">O problema se intensifica durante os períodos de chuvas moderadas e intensas, quando o escoamento superficial da água </w:t>
      </w:r>
      <w:r>
        <w:rPr>
          <w:rStyle w:val="Strong"/>
          <w:b w:val="false"/>
          <w:bCs w:val="false"/>
        </w:rPr>
        <w:t>invade propriedades lindeiras e compromete a estrutura da malha viária</w:t>
      </w:r>
      <w:r>
        <w:rPr>
          <w:b w:val="false"/>
          <w:bCs w:val="false"/>
        </w:rPr>
        <w:t xml:space="preserve">. A </w:t>
      </w:r>
      <w:r>
        <w:rPr>
          <w:rStyle w:val="Strong"/>
          <w:b w:val="false"/>
          <w:bCs w:val="false"/>
        </w:rPr>
        <w:t>ausência de rede coletora subterrânea</w:t>
      </w:r>
      <w:r>
        <w:rPr>
          <w:b w:val="false"/>
          <w:bCs w:val="false"/>
        </w:rPr>
        <w:t xml:space="preserve"> compromete a durabilidade das intervenções já realizadas na via e prejudica a trafegabilidade urbana.</w:t>
      </w:r>
    </w:p>
    <w:p>
      <w:pPr>
        <w:pStyle w:val="BodyText"/>
        <w:rPr/>
      </w:pPr>
      <w:r>
        <w:rPr>
          <w:b w:val="false"/>
          <w:bCs w:val="false"/>
        </w:rPr>
        <w:t xml:space="preserve">Até o presente momento, </w:t>
      </w:r>
      <w:r>
        <w:rPr>
          <w:rStyle w:val="Strong"/>
          <w:b w:val="false"/>
          <w:bCs w:val="false"/>
        </w:rPr>
        <w:t>não há registros de contratação anterior para a implantação de sistema de drenagem</w:t>
      </w:r>
      <w:r>
        <w:rPr>
          <w:b w:val="false"/>
          <w:bCs w:val="false"/>
        </w:rPr>
        <w:t xml:space="preserve"> na localidade mencionada, nem tampouco execução parcial da rede. As medidas adotadas pela Administração limitaram-se a </w:t>
      </w:r>
      <w:r>
        <w:rPr>
          <w:rStyle w:val="Strong"/>
          <w:b w:val="false"/>
          <w:bCs w:val="false"/>
        </w:rPr>
        <w:t>ações paliativas e emergenciais</w:t>
      </w:r>
      <w:r>
        <w:rPr>
          <w:b w:val="false"/>
          <w:bCs w:val="false"/>
        </w:rPr>
        <w:t xml:space="preserve">, como limpeza de valas e recuperação pontual do pavimento, que </w:t>
      </w:r>
      <w:r>
        <w:rPr>
          <w:rStyle w:val="Strong"/>
          <w:b w:val="false"/>
          <w:bCs w:val="false"/>
        </w:rPr>
        <w:t>não solucionam o problema de origem estrutural</w:t>
      </w:r>
      <w:r>
        <w:rPr>
          <w:b w:val="false"/>
          <w:bCs w:val="false"/>
        </w:rPr>
        <w:t>.</w:t>
      </w:r>
    </w:p>
    <w:p>
      <w:pPr>
        <w:pStyle w:val="BodyText"/>
        <w:rPr/>
      </w:pPr>
      <w:r>
        <w:rPr>
          <w:b w:val="false"/>
          <w:bCs w:val="false"/>
        </w:rPr>
        <w:t xml:space="preserve">Em razão da </w:t>
      </w:r>
      <w:r>
        <w:rPr>
          <w:rStyle w:val="Strong"/>
          <w:b w:val="false"/>
          <w:bCs w:val="false"/>
        </w:rPr>
        <w:t>gravidade dos impactos identificados</w:t>
      </w:r>
      <w:r>
        <w:rPr>
          <w:b w:val="false"/>
          <w:bCs w:val="false"/>
        </w:rPr>
        <w:t xml:space="preserve">, da </w:t>
      </w:r>
      <w:r>
        <w:rPr>
          <w:rStyle w:val="Strong"/>
          <w:b w:val="false"/>
          <w:bCs w:val="false"/>
        </w:rPr>
        <w:t>comprovação técnica da deficiência existente</w:t>
      </w:r>
      <w:r>
        <w:rPr>
          <w:b w:val="false"/>
          <w:bCs w:val="false"/>
        </w:rPr>
        <w:t xml:space="preserve"> e da recomendação formal expedida pelo órgão ministerial, a Administração Municipal deliberou pela </w:t>
      </w:r>
      <w:r>
        <w:rPr>
          <w:rStyle w:val="Strong"/>
          <w:b w:val="false"/>
          <w:bCs w:val="false"/>
        </w:rPr>
        <w:t>execução de obra de drenagem definitiva</w:t>
      </w:r>
      <w:r>
        <w:rPr>
          <w:b w:val="false"/>
          <w:bCs w:val="false"/>
        </w:rPr>
        <w:t>, a fim de garantir o escoamento eficiente das águas pluviais, preservando a infraestrutura urbana e a segurança da população local.</w:t>
      </w:r>
    </w:p>
    <w:p>
      <w:pPr>
        <w:pStyle w:val="BodyText"/>
        <w:rPr>
          <w:rFonts w:eastAsia="Merriweather"/>
        </w:rPr>
      </w:pPr>
      <w:r>
        <w:rPr>
          <w:rFonts w:eastAsia="Merriweather"/>
        </w:rPr>
      </w:r>
    </w:p>
    <w:p>
      <w:pPr>
        <w:pStyle w:val="Normal"/>
        <w:numPr>
          <w:ilvl w:val="0"/>
          <w:numId w:val="3"/>
        </w:numPr>
        <w:spacing w:lineRule="auto" w:line="360"/>
        <w:ind w:hanging="2" w:left="0"/>
        <w:jc w:val="both"/>
        <w:rPr>
          <w:b/>
          <w:bCs/>
        </w:rPr>
      </w:pPr>
      <w:r>
        <w:rPr>
          <w:rFonts w:eastAsia="Merriweather"/>
          <w:b/>
          <w:bCs/>
        </w:rPr>
        <w:t>Alinhamento entre a contratação e o planejamento da Administração (artigo 15, §1º, II, do Decreto nº 3.537/2023):</w:t>
      </w:r>
    </w:p>
    <w:p>
      <w:pPr>
        <w:pStyle w:val="Normal"/>
        <w:spacing w:lineRule="auto" w:line="360"/>
        <w:ind w:hanging="2" w:left="0"/>
        <w:jc w:val="both"/>
        <w:rPr>
          <w:rFonts w:eastAsia="Merriweather"/>
        </w:rPr>
      </w:pPr>
      <w:r>
        <w:rPr>
          <w:rFonts w:eastAsia="Merriweather"/>
        </w:rPr>
      </w:r>
    </w:p>
    <w:p>
      <w:pPr>
        <w:pStyle w:val="BodyText"/>
        <w:rPr/>
      </w:pPr>
      <w:r>
        <w:rPr>
          <w:b w:val="false"/>
          <w:bCs w:val="false"/>
        </w:rPr>
        <w:t xml:space="preserve">A contratação em questão está </w:t>
      </w:r>
      <w:r>
        <w:rPr>
          <w:rStyle w:val="Strong"/>
          <w:b w:val="false"/>
          <w:bCs w:val="false"/>
        </w:rPr>
        <w:t>plenamente alinhada com o planejamento institucional da Administração Pública Municipal</w:t>
      </w:r>
      <w:r>
        <w:rPr>
          <w:b w:val="false"/>
          <w:bCs w:val="false"/>
        </w:rPr>
        <w:t>, integrando-se às diretrizes estratégicas de melhoria da infraestrutura urbana, prevenção de riscos e promoção da segurança e qualidade de vida da população.</w:t>
      </w:r>
    </w:p>
    <w:p>
      <w:pPr>
        <w:pStyle w:val="BodyText"/>
        <w:rPr/>
      </w:pPr>
      <w:r>
        <w:rPr>
          <w:b w:val="false"/>
          <w:bCs w:val="false"/>
        </w:rPr>
        <w:t xml:space="preserve">A demanda encontra-se </w:t>
      </w:r>
      <w:r>
        <w:rPr>
          <w:rStyle w:val="Strong"/>
          <w:b w:val="false"/>
          <w:bCs w:val="false"/>
        </w:rPr>
        <w:t>formalmente prevista no Planejamento Anual de Compras (PAC) do exercício de 2025</w:t>
      </w:r>
      <w:r>
        <w:rPr>
          <w:b w:val="false"/>
          <w:bCs w:val="false"/>
        </w:rPr>
        <w:t xml:space="preserve">, conforme a </w:t>
      </w:r>
      <w:r>
        <w:rPr>
          <w:rStyle w:val="Strong"/>
          <w:b w:val="false"/>
          <w:bCs w:val="false"/>
        </w:rPr>
        <w:t>sequência SO0217</w:t>
      </w:r>
      <w:r>
        <w:rPr>
          <w:b w:val="false"/>
          <w:bCs w:val="false"/>
        </w:rPr>
        <w:t>, vinculada à Secretaria Municipal de Obras, Serviços e Desenvolvimento Urbano. A inclusão no PAC demonstra o reconhecimento prévio da importância e da prioridade da obra, com alocação orçamentária para sua execução dentro do planejamento financeiro do Município.</w:t>
      </w:r>
    </w:p>
    <w:p>
      <w:pPr>
        <w:pStyle w:val="BodyText"/>
        <w:rPr/>
      </w:pPr>
      <w:r>
        <w:rPr>
          <w:b w:val="false"/>
          <w:bCs w:val="false"/>
        </w:rPr>
        <w:t xml:space="preserve">Trata-se, portanto, de contratação </w:t>
      </w:r>
      <w:r>
        <w:rPr>
          <w:rStyle w:val="Strong"/>
          <w:b w:val="false"/>
          <w:bCs w:val="false"/>
        </w:rPr>
        <w:t>coerente com o planejamento de médio prazo da gestão municipal</w:t>
      </w:r>
      <w:r>
        <w:rPr>
          <w:b w:val="false"/>
          <w:bCs w:val="false"/>
        </w:rPr>
        <w:t>, reforçando o compromisso com a eficiência administrativa, o atendimento a demandas reprimidas e a observância das recomendações oriundas de órgãos de controle.</w:t>
      </w:r>
    </w:p>
    <w:p>
      <w:pPr>
        <w:pStyle w:val="Normal"/>
        <w:spacing w:lineRule="auto" w:line="360"/>
        <w:ind w:hanging="2" w:left="0"/>
        <w:jc w:val="both"/>
        <w:rPr>
          <w:rFonts w:eastAsia="Merriweather"/>
        </w:rPr>
      </w:pPr>
      <w:r>
        <w:rPr>
          <w:rFonts w:eastAsia="Merriweather"/>
        </w:rPr>
      </w:r>
    </w:p>
    <w:p>
      <w:pPr>
        <w:pStyle w:val="Normal"/>
        <w:numPr>
          <w:ilvl w:val="0"/>
          <w:numId w:val="3"/>
        </w:numPr>
        <w:spacing w:lineRule="auto" w:line="360"/>
        <w:ind w:hanging="2" w:left="0"/>
        <w:jc w:val="both"/>
        <w:rPr>
          <w:rFonts w:eastAsia="Merriweather"/>
        </w:rPr>
      </w:pPr>
      <w:r>
        <w:rPr>
          <w:rFonts w:eastAsia="Merriweather"/>
        </w:rPr>
        <w:t>Descrição dos requisitos da potencial contratação (artigo 15, §1º, III, do Decreto nº 3.537/2023):</w:t>
      </w:r>
    </w:p>
    <w:p>
      <w:pPr>
        <w:pStyle w:val="BodyText"/>
        <w:rPr/>
      </w:pPr>
      <w:r>
        <w:rPr>
          <w:b w:val="false"/>
          <w:bCs w:val="false"/>
        </w:rPr>
        <w:t xml:space="preserve">A presente contratação tem por objetivo a </w:t>
      </w:r>
      <w:r>
        <w:rPr>
          <w:rStyle w:val="Strong"/>
        </w:rPr>
        <w:t>execução de obra de drenagem urbana</w:t>
      </w:r>
      <w:r>
        <w:rPr>
          <w:b w:val="false"/>
          <w:bCs w:val="false"/>
        </w:rPr>
        <w:t xml:space="preserve">, conforme especificações contidas no projeto técnico e planilha orçamentária elaborada com base nas tabelas </w:t>
      </w:r>
      <w:r>
        <w:rPr>
          <w:rStyle w:val="Strong"/>
          <w:b w:val="false"/>
          <w:bCs w:val="false"/>
        </w:rPr>
        <w:t>SINAPI/PR (fev/2025)</w:t>
      </w:r>
      <w:r>
        <w:rPr>
          <w:b w:val="false"/>
          <w:bCs w:val="false"/>
        </w:rPr>
        <w:t xml:space="preserve"> e </w:t>
      </w:r>
      <w:r>
        <w:rPr>
          <w:rStyle w:val="Strong"/>
          <w:b w:val="false"/>
          <w:bCs w:val="false"/>
        </w:rPr>
        <w:t>SECID (mar/2025)</w:t>
      </w:r>
      <w:r>
        <w:rPr>
          <w:b w:val="false"/>
          <w:bCs w:val="false"/>
        </w:rPr>
        <w:t xml:space="preserve">. Para garantir o atendimento à necessidade identificada, foram definidos os seguintes </w:t>
      </w:r>
      <w:r>
        <w:rPr>
          <w:rStyle w:val="Strong"/>
          <w:b w:val="false"/>
          <w:bCs w:val="false"/>
        </w:rPr>
        <w:t>requisitos mínimos da contratação</w:t>
      </w:r>
      <w:r>
        <w:rPr>
          <w:b w:val="false"/>
          <w:bCs w:val="false"/>
        </w:rPr>
        <w:t>:</w:t>
      </w:r>
    </w:p>
    <w:p>
      <w:pPr>
        <w:pStyle w:val="Heading4"/>
        <w:rPr/>
      </w:pPr>
      <w:r>
        <w:rPr>
          <w:b w:val="false"/>
          <w:bCs w:val="false"/>
        </w:rPr>
        <w:t xml:space="preserve">a) </w:t>
      </w:r>
      <w:r>
        <w:rPr>
          <w:rStyle w:val="Strong"/>
          <w:b w:val="false"/>
          <w:bCs w:val="false"/>
        </w:rPr>
        <w:t>Requisitos técnicos e operacionais:</w:t>
      </w:r>
    </w:p>
    <w:p>
      <w:pPr>
        <w:pStyle w:val="BodyText"/>
        <w:tabs>
          <w:tab w:val="clear" w:pos="720"/>
          <w:tab w:val="left" w:pos="0" w:leader="none"/>
        </w:tabs>
        <w:ind w:hanging="284" w:left="708"/>
        <w:rPr/>
      </w:pPr>
      <w:r>
        <w:rPr>
          <w:rStyle w:val="Strong"/>
          <w:b w:val="false"/>
          <w:bCs w:val="false"/>
        </w:rPr>
        <w:t>Implantação de 187 metros lineares de galeria de águas pluviais</w:t>
      </w:r>
      <w:r>
        <w:rPr>
          <w:b w:val="false"/>
          <w:bCs w:val="false"/>
        </w:rPr>
        <w:t xml:space="preserve"> em tubo de concreto armado com diâmetro nominal de </w:t>
      </w:r>
      <w:r>
        <w:rPr>
          <w:rStyle w:val="Strong"/>
          <w:b w:val="false"/>
          <w:bCs w:val="false"/>
        </w:rPr>
        <w:t>Ø1000 mm</w:t>
      </w:r>
      <w:r>
        <w:rPr>
          <w:b w:val="false"/>
          <w:bCs w:val="false"/>
        </w:rPr>
        <w:t>;</w:t>
      </w:r>
    </w:p>
    <w:p>
      <w:pPr>
        <w:pStyle w:val="BodyText"/>
        <w:tabs>
          <w:tab w:val="clear" w:pos="720"/>
          <w:tab w:val="left" w:pos="0" w:leader="none"/>
        </w:tabs>
        <w:ind w:hanging="284" w:left="708"/>
        <w:rPr/>
      </w:pPr>
      <w:r>
        <w:rPr>
          <w:b w:val="false"/>
          <w:bCs w:val="false"/>
        </w:rPr>
        <w:t xml:space="preserve">Execução de </w:t>
      </w:r>
      <w:r>
        <w:rPr>
          <w:rStyle w:val="Strong"/>
          <w:b w:val="false"/>
          <w:bCs w:val="false"/>
        </w:rPr>
        <w:t>poços de visita em alvenaria</w:t>
      </w:r>
      <w:r>
        <w:rPr>
          <w:b w:val="false"/>
          <w:bCs w:val="false"/>
        </w:rPr>
        <w:t xml:space="preserve"> com tampas de concreto, garantindo acesso à rede para futuras manutenções;</w:t>
      </w:r>
    </w:p>
    <w:p>
      <w:pPr>
        <w:pStyle w:val="BodyText"/>
        <w:tabs>
          <w:tab w:val="clear" w:pos="720"/>
          <w:tab w:val="left" w:pos="0" w:leader="none"/>
        </w:tabs>
        <w:ind w:hanging="284" w:left="708"/>
        <w:rPr/>
      </w:pPr>
      <w:r>
        <w:rPr>
          <w:b w:val="false"/>
          <w:bCs w:val="false"/>
        </w:rPr>
        <w:t xml:space="preserve">Instalação de </w:t>
      </w:r>
      <w:r>
        <w:rPr>
          <w:rStyle w:val="Strong"/>
          <w:b w:val="false"/>
          <w:bCs w:val="false"/>
        </w:rPr>
        <w:t>caixas de ligação</w:t>
      </w:r>
      <w:r>
        <w:rPr>
          <w:b w:val="false"/>
          <w:bCs w:val="false"/>
        </w:rPr>
        <w:t xml:space="preserve"> em alvenaria para captação e encaminhamento das águas de superfície;</w:t>
      </w:r>
    </w:p>
    <w:p>
      <w:pPr>
        <w:pStyle w:val="BodyText"/>
        <w:tabs>
          <w:tab w:val="clear" w:pos="720"/>
          <w:tab w:val="left" w:pos="0" w:leader="none"/>
        </w:tabs>
        <w:ind w:hanging="284" w:left="708"/>
        <w:rPr/>
      </w:pPr>
      <w:r>
        <w:rPr>
          <w:b w:val="false"/>
          <w:bCs w:val="false"/>
        </w:rPr>
        <w:t xml:space="preserve">Construção de </w:t>
      </w:r>
      <w:r>
        <w:rPr>
          <w:rStyle w:val="Strong"/>
          <w:b w:val="false"/>
          <w:bCs w:val="false"/>
        </w:rPr>
        <w:t>dissipador de energia tipo escada hidráulica</w:t>
      </w:r>
      <w:r>
        <w:rPr>
          <w:b w:val="false"/>
          <w:bCs w:val="false"/>
        </w:rPr>
        <w:t xml:space="preserve">, em </w:t>
      </w:r>
      <w:r>
        <w:rPr>
          <w:rStyle w:val="Strong"/>
          <w:b w:val="false"/>
          <w:bCs w:val="false"/>
        </w:rPr>
        <w:t>concreto armado</w:t>
      </w:r>
      <w:r>
        <w:rPr>
          <w:b w:val="false"/>
          <w:bCs w:val="false"/>
        </w:rPr>
        <w:t>, com armadura detalhada e dispositivos de dissipação final, conforme projeto;</w:t>
      </w:r>
    </w:p>
    <w:p>
      <w:pPr>
        <w:pStyle w:val="BodyText"/>
        <w:tabs>
          <w:tab w:val="clear" w:pos="720"/>
          <w:tab w:val="left" w:pos="0" w:leader="none"/>
        </w:tabs>
        <w:ind w:hanging="284" w:left="708"/>
        <w:rPr/>
      </w:pPr>
      <w:r>
        <w:rPr>
          <w:rStyle w:val="Strong"/>
          <w:b w:val="false"/>
          <w:bCs w:val="false"/>
        </w:rPr>
        <w:t>Reconstrução do pavimento asfáltico</w:t>
      </w:r>
      <w:r>
        <w:rPr>
          <w:b w:val="false"/>
          <w:bCs w:val="false"/>
        </w:rPr>
        <w:t>, incluindo reaterro, sub-base, base, imprimação, pintura de ligação e capa de rolamento em CBUQ nos trechos escavados.</w:t>
      </w:r>
    </w:p>
    <w:p>
      <w:pPr>
        <w:pStyle w:val="Heading4"/>
        <w:rPr/>
      </w:pPr>
      <w:r>
        <w:rPr>
          <w:b w:val="false"/>
          <w:bCs w:val="false"/>
        </w:rPr>
        <w:t xml:space="preserve">b) </w:t>
      </w:r>
      <w:r>
        <w:rPr>
          <w:rStyle w:val="Strong"/>
          <w:b w:val="false"/>
          <w:bCs w:val="false"/>
        </w:rPr>
        <w:t>Padrões mínimos de qualidade esperados:</w:t>
      </w:r>
    </w:p>
    <w:p>
      <w:pPr>
        <w:pStyle w:val="BodyText"/>
        <w:tabs>
          <w:tab w:val="clear" w:pos="720"/>
          <w:tab w:val="left" w:pos="0" w:leader="none"/>
        </w:tabs>
        <w:ind w:hanging="284" w:left="708"/>
        <w:rPr/>
      </w:pPr>
      <w:r>
        <w:rPr>
          <w:b w:val="false"/>
          <w:bCs w:val="false"/>
        </w:rPr>
        <w:t xml:space="preserve">Todos os materiais empregados devem atender às </w:t>
      </w:r>
      <w:r>
        <w:rPr>
          <w:rStyle w:val="Strong"/>
          <w:b w:val="false"/>
          <w:bCs w:val="false"/>
        </w:rPr>
        <w:t>normas técnicas da ABNT</w:t>
      </w:r>
      <w:r>
        <w:rPr>
          <w:b w:val="false"/>
          <w:bCs w:val="false"/>
        </w:rPr>
        <w:t>, especialmente no que tange à durabilidade, estanqueidade e resistência dos tubos e estruturas de concreto;</w:t>
      </w:r>
    </w:p>
    <w:p>
      <w:pPr>
        <w:pStyle w:val="BodyText"/>
        <w:tabs>
          <w:tab w:val="clear" w:pos="720"/>
          <w:tab w:val="left" w:pos="0" w:leader="none"/>
        </w:tabs>
        <w:ind w:hanging="284" w:left="708"/>
        <w:rPr/>
      </w:pPr>
      <w:r>
        <w:rPr>
          <w:b w:val="false"/>
          <w:bCs w:val="false"/>
        </w:rPr>
        <w:t xml:space="preserve">O </w:t>
      </w:r>
      <w:r>
        <w:rPr>
          <w:rStyle w:val="Strong"/>
          <w:b w:val="false"/>
          <w:bCs w:val="false"/>
        </w:rPr>
        <w:t>pavimento recomposto deverá ter desempenho igual ou superior ao original</w:t>
      </w:r>
      <w:r>
        <w:rPr>
          <w:b w:val="false"/>
          <w:bCs w:val="false"/>
        </w:rPr>
        <w:t>, considerando-se o tráfego da via;</w:t>
      </w:r>
    </w:p>
    <w:p>
      <w:pPr>
        <w:pStyle w:val="BodyText"/>
        <w:tabs>
          <w:tab w:val="clear" w:pos="720"/>
          <w:tab w:val="left" w:pos="0" w:leader="none"/>
        </w:tabs>
        <w:ind w:hanging="284" w:left="708"/>
        <w:rPr/>
      </w:pPr>
      <w:r>
        <w:rPr>
          <w:b w:val="false"/>
          <w:bCs w:val="false"/>
        </w:rPr>
        <w:t xml:space="preserve">A execução deverá ser feita por profissionais habilitados, com </w:t>
      </w:r>
      <w:r>
        <w:rPr>
          <w:rStyle w:val="Strong"/>
          <w:b w:val="false"/>
          <w:bCs w:val="false"/>
        </w:rPr>
        <w:t>acompanhamento técnico de engenheiro civil responsável</w:t>
      </w:r>
      <w:r>
        <w:rPr>
          <w:b w:val="false"/>
          <w:bCs w:val="false"/>
        </w:rPr>
        <w:t xml:space="preserve"> e emissão de </w:t>
      </w:r>
      <w:r>
        <w:rPr>
          <w:rStyle w:val="Strong"/>
          <w:b w:val="false"/>
          <w:bCs w:val="false"/>
        </w:rPr>
        <w:t>ART</w:t>
      </w:r>
      <w:r>
        <w:rPr>
          <w:b w:val="false"/>
          <w:bCs w:val="false"/>
        </w:rPr>
        <w:t xml:space="preserve"> de execução;</w:t>
      </w:r>
    </w:p>
    <w:p>
      <w:pPr>
        <w:pStyle w:val="BodyText"/>
        <w:tabs>
          <w:tab w:val="clear" w:pos="720"/>
          <w:tab w:val="left" w:pos="0" w:leader="none"/>
        </w:tabs>
        <w:ind w:hanging="284" w:left="708"/>
        <w:rPr/>
      </w:pPr>
      <w:r>
        <w:rPr>
          <w:b w:val="false"/>
          <w:bCs w:val="false"/>
        </w:rPr>
        <w:t xml:space="preserve">O sistema de drenagem implantado deverá estar </w:t>
      </w:r>
      <w:r>
        <w:rPr>
          <w:rStyle w:val="Strong"/>
          <w:b w:val="false"/>
          <w:bCs w:val="false"/>
        </w:rPr>
        <w:t>plenamente funcional ao final da obra</w:t>
      </w:r>
      <w:r>
        <w:rPr>
          <w:b w:val="false"/>
          <w:bCs w:val="false"/>
        </w:rPr>
        <w:t>, sendo submetido a testes operacionais antes da entrega.</w:t>
      </w:r>
    </w:p>
    <w:p>
      <w:pPr>
        <w:pStyle w:val="Heading4"/>
        <w:rPr/>
      </w:pPr>
      <w:r>
        <w:rPr>
          <w:b w:val="false"/>
          <w:bCs w:val="false"/>
        </w:rPr>
        <w:t xml:space="preserve">c) </w:t>
      </w:r>
      <w:r>
        <w:rPr>
          <w:rStyle w:val="Strong"/>
          <w:b w:val="false"/>
          <w:bCs w:val="false"/>
        </w:rPr>
        <w:t>Tempo de disponibilidade da solução à Administração:</w:t>
      </w:r>
    </w:p>
    <w:p>
      <w:pPr>
        <w:pStyle w:val="BodyText"/>
        <w:rPr/>
      </w:pPr>
      <w:r>
        <w:rPr>
          <w:b w:val="false"/>
          <w:bCs w:val="false"/>
        </w:rPr>
        <w:t xml:space="preserve"> </w:t>
      </w:r>
      <w:r>
        <w:rPr>
          <w:b w:val="false"/>
          <w:bCs w:val="false"/>
        </w:rPr>
        <w:t xml:space="preserve">Trata-se de obra de infraestrutura pública destinada à drenagem urbana. Embora o contrato em si tenha </w:t>
      </w:r>
      <w:r>
        <w:rPr>
          <w:rStyle w:val="Strong"/>
          <w:b w:val="false"/>
          <w:bCs w:val="false"/>
        </w:rPr>
        <w:t>prazo de execução de 60 (sessenta) dias corridos</w:t>
      </w:r>
      <w:r>
        <w:rPr>
          <w:b w:val="false"/>
          <w:bCs w:val="false"/>
        </w:rPr>
        <w:t xml:space="preserve">, conforme definido na planilha orçamentária, o sistema implantado deverá permanecer </w:t>
      </w:r>
      <w:r>
        <w:rPr>
          <w:rStyle w:val="Strong"/>
          <w:b w:val="false"/>
          <w:bCs w:val="false"/>
        </w:rPr>
        <w:t>em operação por tempo indeterminado</w:t>
      </w:r>
      <w:r>
        <w:rPr>
          <w:b w:val="false"/>
          <w:bCs w:val="false"/>
        </w:rPr>
        <w:t>, devendo atender de forma contínua a sua função pública.</w:t>
      </w:r>
    </w:p>
    <w:p>
      <w:pPr>
        <w:pStyle w:val="BodyText"/>
        <w:rPr/>
      </w:pPr>
      <w:r>
        <w:rPr>
          <w:b w:val="false"/>
          <w:bCs w:val="false"/>
        </w:rPr>
        <w:t xml:space="preserve">Não há previsão de fornecimento de serviços continuados ou manutenção posterior no escopo desta contratação, sendo a </w:t>
      </w:r>
      <w:r>
        <w:rPr>
          <w:rStyle w:val="Strong"/>
          <w:b w:val="false"/>
          <w:bCs w:val="false"/>
        </w:rPr>
        <w:t>durabilidade do sistema garantida pela correta execução da obra e pela qualidade dos materiais utilizados</w:t>
      </w:r>
      <w:r>
        <w:rPr>
          <w:b w:val="false"/>
          <w:bCs w:val="false"/>
        </w:rPr>
        <w:t>.</w:t>
      </w:r>
    </w:p>
    <w:p>
      <w:pPr>
        <w:pStyle w:val="Normal"/>
        <w:spacing w:lineRule="auto" w:line="360"/>
        <w:ind w:hanging="2" w:left="0"/>
        <w:jc w:val="both"/>
        <w:rPr>
          <w:rFonts w:eastAsia="Merriweather"/>
        </w:rPr>
      </w:pPr>
      <w:r>
        <w:rPr>
          <w:rFonts w:eastAsia="Merriweather"/>
        </w:rPr>
        <w:t xml:space="preserve"> </w:t>
      </w:r>
    </w:p>
    <w:p>
      <w:pPr>
        <w:pStyle w:val="Normal"/>
        <w:spacing w:lineRule="auto" w:line="360"/>
        <w:ind w:hanging="2" w:left="0"/>
        <w:jc w:val="both"/>
        <w:rPr>
          <w:color w:val="C00000"/>
        </w:rPr>
      </w:pPr>
      <w:r>
        <w:rPr>
          <w:color w:val="C00000"/>
        </w:rPr>
      </w:r>
    </w:p>
    <w:p>
      <w:pPr>
        <w:pStyle w:val="Normal"/>
        <w:spacing w:lineRule="auto" w:line="360"/>
        <w:ind w:hanging="2" w:left="0"/>
        <w:jc w:val="both"/>
        <w:rPr>
          <w:rFonts w:eastAsia="Merriweather"/>
        </w:rPr>
      </w:pPr>
      <w:r>
        <w:rPr>
          <w:rFonts w:eastAsia="Merriweather"/>
          <w:b/>
        </w:rPr>
        <w:t>III - Prospecção de Soluções (artigo 15, §1º, V e VI)</w:t>
      </w:r>
      <w:r>
        <w:rPr>
          <w:rFonts w:eastAsia="Merriweather"/>
        </w:rPr>
        <w:t>:</w:t>
      </w:r>
    </w:p>
    <w:p>
      <w:pPr>
        <w:pStyle w:val="Normal"/>
        <w:numPr>
          <w:ilvl w:val="0"/>
          <w:numId w:val="1"/>
        </w:numPr>
        <w:spacing w:lineRule="auto" w:line="360"/>
        <w:ind w:hanging="2" w:left="0"/>
        <w:jc w:val="both"/>
        <w:rPr>
          <w:rFonts w:eastAsia="Merriweather"/>
        </w:rPr>
      </w:pPr>
      <w:r>
        <w:rPr>
          <w:rFonts w:eastAsia="Merriweather"/>
        </w:rPr>
        <w:t>Levantamento de Mercado (artigo 15, §1º V, do Decreto nº 3.537/2023):</w:t>
      </w:r>
    </w:p>
    <w:p>
      <w:pPr>
        <w:pStyle w:val="Normal"/>
        <w:spacing w:lineRule="auto" w:line="360"/>
        <w:ind w:hanging="2" w:left="0"/>
        <w:jc w:val="both"/>
        <w:rPr>
          <w:rFonts w:eastAsia="Merriweather"/>
        </w:rPr>
      </w:pPr>
      <w:r>
        <w:rPr>
          <w:rFonts w:eastAsia="Merriweather"/>
        </w:rPr>
      </w:r>
    </w:p>
    <w:p>
      <w:pPr>
        <w:pStyle w:val="BodyText"/>
        <w:rPr/>
      </w:pPr>
      <w:r>
        <w:rPr>
          <w:b w:val="false"/>
          <w:bCs w:val="false"/>
        </w:rPr>
        <w:t xml:space="preserve">A Equipe de Planejamento da Secretaria Municipal de Obras, Serviços e Desenvolvimento Urbano realizou levantamento de mercado com o objetivo de identificar as </w:t>
      </w:r>
      <w:r>
        <w:rPr>
          <w:rStyle w:val="Strong"/>
          <w:b w:val="false"/>
          <w:bCs w:val="false"/>
        </w:rPr>
        <w:t>soluções viáveis para resolver o problema de drenagem pluvial urbana</w:t>
      </w:r>
      <w:r>
        <w:rPr>
          <w:b w:val="false"/>
          <w:bCs w:val="false"/>
        </w:rPr>
        <w:t xml:space="preserve"> na região da Vila União / Loteamento Yara, tanto sob o aspecto </w:t>
      </w:r>
      <w:r>
        <w:rPr>
          <w:rStyle w:val="Strong"/>
          <w:b w:val="false"/>
          <w:bCs w:val="false"/>
        </w:rPr>
        <w:t>técnico (método construtivo)</w:t>
      </w:r>
      <w:r>
        <w:rPr>
          <w:b w:val="false"/>
          <w:bCs w:val="false"/>
        </w:rPr>
        <w:t xml:space="preserve"> quanto </w:t>
      </w:r>
      <w:r>
        <w:rPr>
          <w:rStyle w:val="Strong"/>
          <w:b w:val="false"/>
          <w:bCs w:val="false"/>
        </w:rPr>
        <w:t>administrativo (forma de execução da contratação)</w:t>
      </w:r>
      <w:r>
        <w:rPr>
          <w:b w:val="false"/>
          <w:bCs w:val="false"/>
        </w:rPr>
        <w:t>.</w:t>
      </w:r>
    </w:p>
    <w:p>
      <w:pPr>
        <w:pStyle w:val="Linhahorizontal"/>
        <w:rPr/>
      </w:pPr>
      <w:r>
        <w:rPr/>
      </w:r>
    </w:p>
    <w:p>
      <w:pPr>
        <w:pStyle w:val="Heading4"/>
        <w:rPr/>
      </w:pPr>
      <w:r>
        <w:rPr>
          <w:rStyle w:val="Strong"/>
          <w:b/>
        </w:rPr>
        <w:t>A) Alternativas técnicas analisadas</w:t>
      </w:r>
    </w:p>
    <w:p>
      <w:pPr>
        <w:pStyle w:val="BodyText"/>
        <w:rPr/>
      </w:pPr>
      <w:r>
        <w:rPr/>
        <w:t>Conforme as condições urbanas, o dimensionamento hidráulico e a disponibilidade orçamentária, foram consideradas as seguintes opções construtivas:</w:t>
      </w:r>
    </w:p>
    <w:p>
      <w:pPr>
        <w:pStyle w:val="BodyText"/>
        <w:rPr>
          <w:rFonts w:eastAsia="Merriweather"/>
          <w:color w:val="C00000"/>
        </w:rPr>
      </w:pPr>
      <w:r>
        <w:rPr>
          <w:rFonts w:eastAsia="Merriweather"/>
          <w:color w:val="C00000"/>
        </w:rPr>
      </w:r>
    </w:p>
    <w:tbl>
      <w:tblPr>
        <w:tblW w:w="9071" w:type="dxa"/>
        <w:jc w:val="lef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2753"/>
        <w:gridCol w:w="5097"/>
        <w:gridCol w:w="1221"/>
      </w:tblGrid>
      <w:tr>
        <w:trPr>
          <w:tblHeader w:val="true"/>
        </w:trPr>
        <w:tc>
          <w:tcPr>
            <w:tcW w:w="2753" w:type="dxa"/>
            <w:tcBorders/>
            <w:vAlign w:val="center"/>
          </w:tcPr>
          <w:p>
            <w:pPr>
              <w:pStyle w:val="Ttulodetabela"/>
              <w:rPr/>
            </w:pPr>
            <w:r>
              <w:rPr/>
              <w:t>Alternativa Técnica</w:t>
            </w:r>
          </w:p>
        </w:tc>
        <w:tc>
          <w:tcPr>
            <w:tcW w:w="5097" w:type="dxa"/>
            <w:tcBorders/>
            <w:vAlign w:val="center"/>
          </w:tcPr>
          <w:p>
            <w:pPr>
              <w:pStyle w:val="Ttulodetabela"/>
              <w:rPr/>
            </w:pPr>
            <w:r>
              <w:rPr/>
              <w:t>Avaliação Técnica</w:t>
            </w:r>
          </w:p>
        </w:tc>
        <w:tc>
          <w:tcPr>
            <w:tcW w:w="1221" w:type="dxa"/>
            <w:tcBorders/>
            <w:vAlign w:val="center"/>
          </w:tcPr>
          <w:p>
            <w:pPr>
              <w:pStyle w:val="Ttulodetabela"/>
              <w:rPr/>
            </w:pPr>
            <w:r>
              <w:rPr/>
              <w:t>Situação</w:t>
            </w:r>
          </w:p>
        </w:tc>
      </w:tr>
      <w:tr>
        <w:trPr/>
        <w:tc>
          <w:tcPr>
            <w:tcW w:w="2753" w:type="dxa"/>
            <w:tcBorders/>
            <w:vAlign w:val="center"/>
          </w:tcPr>
          <w:p>
            <w:pPr>
              <w:pStyle w:val="Contedodatabela"/>
              <w:rPr/>
            </w:pPr>
            <w:r>
              <w:rPr/>
              <w:t>Tubulação com PEAD (corrugado)</w:t>
            </w:r>
          </w:p>
        </w:tc>
        <w:tc>
          <w:tcPr>
            <w:tcW w:w="5097" w:type="dxa"/>
            <w:tcBorders/>
            <w:vAlign w:val="center"/>
          </w:tcPr>
          <w:p>
            <w:pPr>
              <w:pStyle w:val="Contedodatabela"/>
              <w:rPr/>
            </w:pPr>
            <w:r>
              <w:rPr/>
              <w:t>Inadequada para Ø1000mm; baixa rigidez estrutural em via urbana com tráfego pesado</w:t>
            </w:r>
          </w:p>
        </w:tc>
        <w:tc>
          <w:tcPr>
            <w:tcW w:w="1221" w:type="dxa"/>
            <w:tcBorders/>
            <w:vAlign w:val="center"/>
          </w:tcPr>
          <w:p>
            <w:pPr>
              <w:pStyle w:val="Contedodatabela"/>
              <w:rPr/>
            </w:pPr>
            <w:r>
              <w:rPr/>
              <w:t>Descartada</w:t>
            </w:r>
          </w:p>
        </w:tc>
      </w:tr>
      <w:tr>
        <w:trPr/>
        <w:tc>
          <w:tcPr>
            <w:tcW w:w="2753" w:type="dxa"/>
            <w:tcBorders/>
            <w:vAlign w:val="center"/>
          </w:tcPr>
          <w:p>
            <w:pPr>
              <w:pStyle w:val="Contedodatabela"/>
              <w:rPr/>
            </w:pPr>
            <w:r>
              <w:rPr/>
              <w:t>Canal aberto (valeta)</w:t>
            </w:r>
          </w:p>
        </w:tc>
        <w:tc>
          <w:tcPr>
            <w:tcW w:w="5097" w:type="dxa"/>
            <w:tcBorders/>
            <w:vAlign w:val="center"/>
          </w:tcPr>
          <w:p>
            <w:pPr>
              <w:pStyle w:val="Contedodatabela"/>
              <w:rPr/>
            </w:pPr>
            <w:r>
              <w:rPr/>
              <w:t>Inviável em área urbana consolidada; compromete segurança e acessibilidade</w:t>
            </w:r>
          </w:p>
        </w:tc>
        <w:tc>
          <w:tcPr>
            <w:tcW w:w="1221" w:type="dxa"/>
            <w:tcBorders/>
            <w:vAlign w:val="center"/>
          </w:tcPr>
          <w:p>
            <w:pPr>
              <w:pStyle w:val="Contedodatabela"/>
              <w:rPr/>
            </w:pPr>
            <w:r>
              <w:rPr/>
              <w:t>Descartada</w:t>
            </w:r>
          </w:p>
        </w:tc>
      </w:tr>
      <w:tr>
        <w:trPr/>
        <w:tc>
          <w:tcPr>
            <w:tcW w:w="2753" w:type="dxa"/>
            <w:tcBorders/>
            <w:vAlign w:val="center"/>
          </w:tcPr>
          <w:p>
            <w:pPr>
              <w:pStyle w:val="Contedodatabela"/>
              <w:rPr/>
            </w:pPr>
            <w:r>
              <w:rPr/>
              <w:t>Galeria com tubo de concreto Ø1000 mm</w:t>
            </w:r>
          </w:p>
        </w:tc>
        <w:tc>
          <w:tcPr>
            <w:tcW w:w="5097" w:type="dxa"/>
            <w:tcBorders/>
            <w:vAlign w:val="center"/>
          </w:tcPr>
          <w:p>
            <w:pPr>
              <w:pStyle w:val="Contedodatabela"/>
              <w:rPr/>
            </w:pPr>
            <w:r>
              <w:rPr/>
              <w:t>Adequada ao projeto; resistente, durável, compatível com o tráfego e a vazão calculada</w:t>
            </w:r>
          </w:p>
        </w:tc>
        <w:tc>
          <w:tcPr>
            <w:tcW w:w="1221" w:type="dxa"/>
            <w:tcBorders/>
            <w:vAlign w:val="center"/>
          </w:tcPr>
          <w:p>
            <w:pPr>
              <w:pStyle w:val="Contedodatabela"/>
              <w:rPr/>
            </w:pPr>
            <w:r>
              <w:rPr>
                <w:rStyle w:val="Strong"/>
              </w:rPr>
              <w:t>Escolhida</w:t>
            </w:r>
          </w:p>
        </w:tc>
      </w:tr>
    </w:tbl>
    <w:p>
      <w:pPr>
        <w:pStyle w:val="BodyText"/>
        <w:rPr>
          <w:rFonts w:eastAsia="Merriweather"/>
          <w:color w:val="C00000"/>
        </w:rPr>
      </w:pPr>
      <w:r>
        <w:rPr>
          <w:rFonts w:eastAsia="Merriweather"/>
          <w:color w:val="C00000"/>
        </w:rPr>
      </w:r>
    </w:p>
    <w:p>
      <w:pPr>
        <w:pStyle w:val="Heading4"/>
        <w:rPr/>
      </w:pPr>
      <w:r>
        <w:rPr>
          <w:rStyle w:val="Strong"/>
          <w:b/>
        </w:rPr>
        <w:t>B) Alternativas administrativas para realização da obra</w:t>
      </w:r>
    </w:p>
    <w:p>
      <w:pPr>
        <w:pStyle w:val="BodyText"/>
        <w:rPr/>
      </w:pPr>
      <w:r>
        <w:rPr/>
        <w:t xml:space="preserve">Foram avaliadas duas formas legais de viabilização da contratação, nos termos da Lei nº 14.133/2021. Abaixo, quadro comparativo entre </w:t>
      </w:r>
      <w:r>
        <w:rPr>
          <w:rStyle w:val="Strong"/>
        </w:rPr>
        <w:t>execução direta</w:t>
      </w:r>
      <w:r>
        <w:rPr/>
        <w:t xml:space="preserve"> e </w:t>
      </w:r>
      <w:r>
        <w:rPr>
          <w:rStyle w:val="Strong"/>
        </w:rPr>
        <w:t>licitação pública</w:t>
      </w:r>
      <w:r>
        <w:rPr/>
        <w:t>:</w:t>
      </w:r>
    </w:p>
    <w:p>
      <w:pPr>
        <w:pStyle w:val="BodyText"/>
        <w:rPr/>
      </w:pPr>
      <w:r>
        <w:rPr/>
      </w:r>
    </w:p>
    <w:tbl>
      <w:tblPr>
        <w:tblW w:w="9071" w:type="dxa"/>
        <w:jc w:val="lef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2079"/>
        <w:gridCol w:w="3691"/>
        <w:gridCol w:w="3301"/>
      </w:tblGrid>
      <w:tr>
        <w:trPr>
          <w:tblHeader w:val="true"/>
        </w:trPr>
        <w:tc>
          <w:tcPr>
            <w:tcW w:w="2079" w:type="dxa"/>
            <w:tcBorders/>
            <w:vAlign w:val="center"/>
          </w:tcPr>
          <w:p>
            <w:pPr>
              <w:pStyle w:val="Ttulodetabela"/>
              <w:rPr/>
            </w:pPr>
            <w:r>
              <w:rPr/>
              <w:t>Alternativa Administrativa</w:t>
            </w:r>
          </w:p>
        </w:tc>
        <w:tc>
          <w:tcPr>
            <w:tcW w:w="3691" w:type="dxa"/>
            <w:tcBorders/>
            <w:vAlign w:val="center"/>
          </w:tcPr>
          <w:p>
            <w:pPr>
              <w:pStyle w:val="Ttulodetabela"/>
              <w:rPr/>
            </w:pPr>
            <w:r>
              <w:rPr/>
              <w:t>Pontos Positivos</w:t>
            </w:r>
          </w:p>
        </w:tc>
        <w:tc>
          <w:tcPr>
            <w:tcW w:w="3301" w:type="dxa"/>
            <w:tcBorders/>
            <w:vAlign w:val="center"/>
          </w:tcPr>
          <w:p>
            <w:pPr>
              <w:pStyle w:val="Ttulodetabela"/>
              <w:rPr/>
            </w:pPr>
            <w:r>
              <w:rPr/>
              <w:t>Pontos Negativos</w:t>
            </w:r>
          </w:p>
        </w:tc>
      </w:tr>
      <w:tr>
        <w:trPr/>
        <w:tc>
          <w:tcPr>
            <w:tcW w:w="2079" w:type="dxa"/>
            <w:tcBorders/>
            <w:vAlign w:val="center"/>
          </w:tcPr>
          <w:p>
            <w:pPr>
              <w:pStyle w:val="Contedodatabela"/>
              <w:rPr/>
            </w:pPr>
            <w:r>
              <w:rPr>
                <w:rStyle w:val="Strong"/>
              </w:rPr>
              <w:t>Execução direta pela Administração</w:t>
            </w:r>
          </w:p>
        </w:tc>
        <w:tc>
          <w:tcPr>
            <w:tcW w:w="3691" w:type="dxa"/>
            <w:tcBorders/>
            <w:vAlign w:val="center"/>
          </w:tcPr>
          <w:p>
            <w:pPr>
              <w:pStyle w:val="Contedodatabela"/>
              <w:rPr/>
            </w:pPr>
            <w:r>
              <w:rPr/>
              <w:t>- Controle direto sobre as etapas da obra- Flexibilidade de execução</w:t>
            </w:r>
          </w:p>
        </w:tc>
        <w:tc>
          <w:tcPr>
            <w:tcW w:w="3301" w:type="dxa"/>
            <w:tcBorders/>
            <w:vAlign w:val="center"/>
          </w:tcPr>
          <w:p>
            <w:pPr>
              <w:pStyle w:val="Contedodatabela"/>
              <w:rPr/>
            </w:pPr>
            <w:r>
              <w:rPr/>
              <w:t>- Falta de equipe técnica habilitada-  Risco de atrasos e falhas técnicas</w:t>
            </w:r>
          </w:p>
        </w:tc>
      </w:tr>
      <w:tr>
        <w:trPr/>
        <w:tc>
          <w:tcPr>
            <w:tcW w:w="2079" w:type="dxa"/>
            <w:tcBorders/>
            <w:vAlign w:val="center"/>
          </w:tcPr>
          <w:p>
            <w:pPr>
              <w:pStyle w:val="Contedodatabela"/>
              <w:rPr/>
            </w:pPr>
            <w:r>
              <w:rPr>
                <w:rStyle w:val="Strong"/>
              </w:rPr>
              <w:t>Licitação pública</w:t>
            </w:r>
          </w:p>
        </w:tc>
        <w:tc>
          <w:tcPr>
            <w:tcW w:w="3691" w:type="dxa"/>
            <w:tcBorders/>
            <w:vAlign w:val="center"/>
          </w:tcPr>
          <w:p>
            <w:pPr>
              <w:pStyle w:val="Contedodatabela"/>
              <w:rPr/>
            </w:pPr>
            <w:r>
              <w:rPr/>
              <w:t>- Acesso a empresas com experiência comprovada- Garantia de economicidade e legalidade- Procedimento transparente e competitivo</w:t>
            </w:r>
          </w:p>
        </w:tc>
        <w:tc>
          <w:tcPr>
            <w:tcW w:w="3301" w:type="dxa"/>
            <w:tcBorders/>
            <w:vAlign w:val="center"/>
          </w:tcPr>
          <w:p>
            <w:pPr>
              <w:pStyle w:val="Contedodatabela"/>
              <w:rPr/>
            </w:pPr>
            <w:r>
              <w:rPr/>
              <w:t>- Requer tramitação formal e prazos legais- Necessidade de planejamento prévio e instrução documental completa</w:t>
            </w:r>
          </w:p>
        </w:tc>
      </w:tr>
    </w:tbl>
    <w:p>
      <w:pPr>
        <w:pStyle w:val="BodyText"/>
        <w:rPr/>
      </w:pPr>
      <w:r>
        <w:rPr/>
      </w:r>
    </w:p>
    <w:p>
      <w:pPr>
        <w:pStyle w:val="Normal"/>
        <w:numPr>
          <w:ilvl w:val="0"/>
          <w:numId w:val="0"/>
        </w:numPr>
        <w:spacing w:lineRule="auto" w:line="360"/>
        <w:ind w:hanging="0" w:left="0"/>
        <w:jc w:val="both"/>
        <w:rPr>
          <w:rFonts w:eastAsia="Merriweather"/>
        </w:rPr>
      </w:pPr>
      <w:r>
        <w:rPr>
          <w:rFonts w:eastAsia="Merriweather"/>
        </w:rPr>
      </w:r>
    </w:p>
    <w:p>
      <w:pPr>
        <w:pStyle w:val="Normal"/>
        <w:numPr>
          <w:ilvl w:val="0"/>
          <w:numId w:val="0"/>
        </w:numPr>
        <w:spacing w:lineRule="auto" w:line="360"/>
        <w:ind w:hanging="0" w:left="0"/>
        <w:jc w:val="both"/>
        <w:rPr>
          <w:rFonts w:eastAsia="Merriweather"/>
        </w:rPr>
      </w:pPr>
      <w:r>
        <w:rPr>
          <w:rFonts w:eastAsia="Merriweather"/>
        </w:rPr>
      </w:r>
    </w:p>
    <w:p>
      <w:pPr>
        <w:pStyle w:val="Normal"/>
        <w:numPr>
          <w:ilvl w:val="0"/>
          <w:numId w:val="0"/>
        </w:numPr>
        <w:spacing w:lineRule="auto" w:line="360"/>
        <w:ind w:hanging="0" w:left="0"/>
        <w:jc w:val="both"/>
        <w:rPr>
          <w:b/>
          <w:bCs/>
        </w:rPr>
      </w:pPr>
      <w:r>
        <w:rPr>
          <w:rFonts w:eastAsia="Merriweather"/>
          <w:b/>
          <w:bCs/>
        </w:rPr>
        <w:t>2. Estimativa do valor da contratação (art. 15, §1º VI do Decreto nº 3.537/2023):</w:t>
      </w:r>
    </w:p>
    <w:p>
      <w:pPr>
        <w:pStyle w:val="BodyText"/>
        <w:rPr/>
      </w:pPr>
      <w:r>
        <w:rPr>
          <w:b w:val="false"/>
          <w:bCs w:val="false"/>
        </w:rPr>
        <w:t xml:space="preserve">A estimativa do valor da contratação foi elaborada com base na </w:t>
      </w:r>
      <w:r>
        <w:rPr>
          <w:rStyle w:val="Strong"/>
          <w:b w:val="false"/>
          <w:bCs w:val="false"/>
        </w:rPr>
        <w:t>Planilha Orçamentária Sintética da obra de drenagem pluvial da Vila União / Loteamento Yara</w:t>
      </w:r>
      <w:r>
        <w:rPr>
          <w:b w:val="false"/>
          <w:bCs w:val="false"/>
        </w:rPr>
        <w:t xml:space="preserve">, composta por itens orçamentários definidos conforme o </w:t>
      </w:r>
      <w:r>
        <w:rPr>
          <w:rStyle w:val="Strong"/>
          <w:b w:val="false"/>
          <w:bCs w:val="false"/>
        </w:rPr>
        <w:t>projeto executivo</w:t>
      </w:r>
      <w:r>
        <w:rPr>
          <w:b w:val="false"/>
          <w:bCs w:val="false"/>
        </w:rPr>
        <w:t xml:space="preserve"> e </w:t>
      </w:r>
      <w:r>
        <w:rPr>
          <w:rStyle w:val="Strong"/>
          <w:b w:val="false"/>
          <w:bCs w:val="false"/>
        </w:rPr>
        <w:t>planilha de dimensionamento hidráulicos elaborados</w:t>
      </w:r>
      <w:r>
        <w:rPr>
          <w:b w:val="false"/>
          <w:bCs w:val="false"/>
        </w:rPr>
        <w:t xml:space="preserve"> pela equipe técnica da Secretaria Municipal de Obras.</w:t>
      </w:r>
    </w:p>
    <w:p>
      <w:pPr>
        <w:pStyle w:val="BodyText"/>
        <w:rPr/>
      </w:pPr>
      <w:r>
        <w:rPr>
          <w:b w:val="false"/>
          <w:bCs w:val="false"/>
        </w:rPr>
        <w:t xml:space="preserve">Os preços utilizados foram extraídos das tabelas </w:t>
      </w:r>
      <w:r>
        <w:rPr>
          <w:rStyle w:val="Strong"/>
          <w:b w:val="false"/>
          <w:bCs w:val="false"/>
        </w:rPr>
        <w:t>SINAPI/PR (referência fevereiro/2025)</w:t>
      </w:r>
      <w:r>
        <w:rPr>
          <w:b w:val="false"/>
          <w:bCs w:val="false"/>
        </w:rPr>
        <w:t xml:space="preserve"> e </w:t>
      </w:r>
      <w:r>
        <w:rPr>
          <w:rStyle w:val="Strong"/>
          <w:b w:val="false"/>
          <w:bCs w:val="false"/>
        </w:rPr>
        <w:t>SECID/PR (referência março/2025)</w:t>
      </w:r>
      <w:r>
        <w:rPr>
          <w:b w:val="false"/>
          <w:bCs w:val="false"/>
        </w:rPr>
        <w:t>, conforme identificado na memória de cálculo anexa, respeitando os parâmetros estabelecidos pela Instrução Normativa SEGES/ME nº 65/2021 e demais normativas de precificação do setor público.</w:t>
      </w:r>
    </w:p>
    <w:p>
      <w:pPr>
        <w:pStyle w:val="BodyText"/>
        <w:rPr/>
      </w:pPr>
      <w:r>
        <w:rPr>
          <w:b w:val="false"/>
          <w:bCs w:val="false"/>
        </w:rPr>
        <w:t xml:space="preserve">O valor total estimado para a contratação, incluindo </w:t>
      </w:r>
      <w:r>
        <w:rPr>
          <w:rStyle w:val="Strong"/>
          <w:b w:val="false"/>
          <w:bCs w:val="false"/>
        </w:rPr>
        <w:t>materiais, mão de obra, equipamentos e serviços necessários</w:t>
      </w:r>
      <w:r>
        <w:rPr>
          <w:b w:val="false"/>
          <w:bCs w:val="false"/>
        </w:rPr>
        <w:t>, é de:</w:t>
      </w:r>
    </w:p>
    <w:p>
      <w:pPr>
        <w:pStyle w:val="BodyText"/>
        <w:rPr/>
      </w:pPr>
      <w:r>
        <w:rPr>
          <w:b/>
          <w:bCs/>
        </w:rPr>
        <w:t xml:space="preserve"> </w:t>
      </w:r>
      <w:r>
        <w:rPr>
          <w:rStyle w:val="Strong"/>
          <w:b/>
          <w:bCs/>
        </w:rPr>
        <w:t>R$ 328.977,92</w:t>
      </w:r>
      <w:r>
        <w:rPr>
          <w:b/>
          <w:bCs/>
        </w:rPr>
        <w:t xml:space="preserve"> (trezentos e vinte e oito mil, novecentos e setenta e sete reais e noventa e dois centavos),</w:t>
      </w:r>
      <w:r>
        <w:rPr/>
        <w:br/>
      </w:r>
      <w:r>
        <w:rPr>
          <w:rStyle w:val="Strong"/>
        </w:rPr>
        <w:t>já incluso o BDI (Bonificação e Despesas Indiretas).</w:t>
      </w:r>
    </w:p>
    <w:p>
      <w:pPr>
        <w:pStyle w:val="BodyText"/>
        <w:rPr/>
      </w:pPr>
      <w:r>
        <w:rPr/>
        <w:t>Este valor considera os seguintes grupos de serviços:</w:t>
      </w:r>
    </w:p>
    <w:p>
      <w:pPr>
        <w:pStyle w:val="BodyText"/>
        <w:numPr>
          <w:ilvl w:val="0"/>
          <w:numId w:val="4"/>
        </w:numPr>
        <w:tabs>
          <w:tab w:val="clear" w:pos="720"/>
          <w:tab w:val="left" w:pos="0" w:leader="none"/>
        </w:tabs>
        <w:ind w:hanging="284" w:left="708"/>
        <w:rPr/>
      </w:pPr>
      <w:r>
        <w:rPr/>
        <w:t>Implantação da galeria pluvial (tubos Ø1000mm, PVs e caixas de ligação);</w:t>
      </w:r>
    </w:p>
    <w:p>
      <w:pPr>
        <w:pStyle w:val="BodyText"/>
        <w:numPr>
          <w:ilvl w:val="0"/>
          <w:numId w:val="4"/>
        </w:numPr>
        <w:tabs>
          <w:tab w:val="clear" w:pos="720"/>
          <w:tab w:val="left" w:pos="0" w:leader="none"/>
        </w:tabs>
        <w:ind w:hanging="284" w:left="708"/>
        <w:rPr/>
      </w:pPr>
      <w:r>
        <w:rPr/>
        <w:t>Execução de dissipador de energia em concreto armado;</w:t>
      </w:r>
    </w:p>
    <w:p>
      <w:pPr>
        <w:pStyle w:val="BodyText"/>
        <w:numPr>
          <w:ilvl w:val="0"/>
          <w:numId w:val="4"/>
        </w:numPr>
        <w:tabs>
          <w:tab w:val="clear" w:pos="720"/>
          <w:tab w:val="left" w:pos="0" w:leader="none"/>
        </w:tabs>
        <w:ind w:hanging="284" w:left="708"/>
        <w:rPr/>
      </w:pPr>
      <w:r>
        <w:rPr/>
        <w:t>Recomposição completa do pavimento asfáltico;</w:t>
      </w:r>
    </w:p>
    <w:p>
      <w:pPr>
        <w:pStyle w:val="BodyText"/>
        <w:numPr>
          <w:ilvl w:val="0"/>
          <w:numId w:val="4"/>
        </w:numPr>
        <w:tabs>
          <w:tab w:val="clear" w:pos="720"/>
          <w:tab w:val="left" w:pos="0" w:leader="none"/>
        </w:tabs>
        <w:ind w:hanging="284" w:left="708"/>
        <w:rPr/>
      </w:pPr>
      <w:r>
        <w:rPr/>
        <w:t>Placa de obra conforme exigências legais.</w:t>
      </w:r>
    </w:p>
    <w:p>
      <w:pPr>
        <w:pStyle w:val="BodyText"/>
        <w:rPr>
          <w:rFonts w:eastAsia="Merriweather"/>
          <w:color w:val="C00000"/>
        </w:rPr>
      </w:pPr>
      <w:r>
        <w:rPr>
          <w:rFonts w:eastAsia="Merriweather"/>
          <w:color w:val="C00000"/>
        </w:rPr>
      </w:r>
    </w:p>
    <w:p>
      <w:pPr>
        <w:pStyle w:val="Normal"/>
        <w:spacing w:lineRule="auto" w:line="360"/>
        <w:ind w:hanging="2" w:left="0"/>
        <w:jc w:val="both"/>
        <w:rPr>
          <w:rFonts w:eastAsia="Merriweather"/>
          <w:color w:val="C00000"/>
        </w:rPr>
      </w:pPr>
      <w:r>
        <w:rPr>
          <w:rFonts w:eastAsia="Merriweather"/>
          <w:color w:val="C00000"/>
        </w:rPr>
      </w:r>
    </w:p>
    <w:p>
      <w:pPr>
        <w:pStyle w:val="Normal"/>
        <w:numPr>
          <w:ilvl w:val="0"/>
          <w:numId w:val="1"/>
        </w:numPr>
        <w:spacing w:lineRule="auto" w:line="360"/>
        <w:ind w:hanging="2" w:left="0"/>
        <w:jc w:val="both"/>
        <w:rPr>
          <w:rFonts w:eastAsia="Merriweather"/>
        </w:rPr>
      </w:pPr>
      <w:r>
        <w:rPr>
          <w:rFonts w:eastAsia="Merriweather"/>
        </w:rPr>
        <w:t xml:space="preserve"> </w:t>
      </w:r>
      <w:r>
        <w:rPr>
          <w:rFonts w:eastAsia="Merriweather"/>
        </w:rPr>
        <w:t>Escolha da solução (consequência dos incisos V e VI do §1º do art. 15 do Decreto nº 3.537/2023):</w:t>
      </w:r>
    </w:p>
    <w:p>
      <w:pPr>
        <w:pStyle w:val="BodyText"/>
        <w:rPr/>
      </w:pPr>
      <w:r>
        <w:rPr>
          <w:b w:val="false"/>
          <w:bCs w:val="false"/>
        </w:rPr>
        <w:t xml:space="preserve">Com base nessa análise, verifica-se que a </w:t>
      </w:r>
      <w:r>
        <w:rPr>
          <w:rStyle w:val="Strong"/>
          <w:b w:val="false"/>
          <w:bCs w:val="false"/>
        </w:rPr>
        <w:t>execução direta não atende aos requisitos da contratação</w:t>
      </w:r>
      <w:r>
        <w:rPr>
          <w:b w:val="false"/>
          <w:bCs w:val="false"/>
        </w:rPr>
        <w:t xml:space="preserve">, pois o Município </w:t>
      </w:r>
      <w:r>
        <w:rPr>
          <w:rStyle w:val="Strong"/>
          <w:b w:val="false"/>
          <w:bCs w:val="false"/>
        </w:rPr>
        <w:t>não possui condições operacionais ou técnicas</w:t>
      </w:r>
      <w:r>
        <w:rPr>
          <w:b w:val="false"/>
          <w:bCs w:val="false"/>
        </w:rPr>
        <w:t xml:space="preserve"> para realizar a obra com recursos próprios. A ausência de equipe capacitada, equipamentos e insumos tornaria a execução vulnerável a atrasos, falhas técnicas e possíveis irregularidades.</w:t>
      </w:r>
    </w:p>
    <w:p>
      <w:pPr>
        <w:pStyle w:val="BodyText"/>
        <w:rPr/>
      </w:pPr>
      <w:r>
        <w:rPr>
          <w:b w:val="false"/>
          <w:bCs w:val="false"/>
        </w:rPr>
        <w:t xml:space="preserve">Por outro lado, a </w:t>
      </w:r>
      <w:r>
        <w:rPr>
          <w:rStyle w:val="Strong"/>
          <w:b w:val="false"/>
          <w:bCs w:val="false"/>
        </w:rPr>
        <w:t>contratação por licitação pública, na modalidade empreitada por preço global</w:t>
      </w:r>
      <w:r>
        <w:rPr>
          <w:b w:val="false"/>
          <w:bCs w:val="false"/>
        </w:rPr>
        <w:t xml:space="preserve">, </w:t>
      </w:r>
      <w:r>
        <w:rPr>
          <w:rStyle w:val="Strong"/>
          <w:b w:val="false"/>
          <w:bCs w:val="false"/>
        </w:rPr>
        <w:t>atende plenamente aos requisitos estabelecidos</w:t>
      </w:r>
      <w:r>
        <w:rPr>
          <w:b w:val="false"/>
          <w:bCs w:val="false"/>
        </w:rPr>
        <w:t>:</w:t>
      </w:r>
    </w:p>
    <w:p>
      <w:pPr>
        <w:pStyle w:val="BodyText"/>
        <w:numPr>
          <w:ilvl w:val="0"/>
          <w:numId w:val="5"/>
        </w:numPr>
        <w:tabs>
          <w:tab w:val="clear" w:pos="720"/>
          <w:tab w:val="left" w:pos="0" w:leader="none"/>
        </w:tabs>
        <w:ind w:hanging="284" w:left="708"/>
        <w:rPr/>
      </w:pPr>
      <w:r>
        <w:rPr>
          <w:b w:val="false"/>
          <w:bCs w:val="false"/>
        </w:rPr>
        <w:t xml:space="preserve">O objeto está </w:t>
      </w:r>
      <w:r>
        <w:rPr>
          <w:rStyle w:val="Strong"/>
          <w:b w:val="false"/>
          <w:bCs w:val="false"/>
        </w:rPr>
        <w:t>claramente definido</w:t>
      </w:r>
      <w:r>
        <w:rPr>
          <w:b w:val="false"/>
          <w:bCs w:val="false"/>
        </w:rPr>
        <w:t xml:space="preserve"> em projeto executivo e planilha orçamentária;</w:t>
      </w:r>
    </w:p>
    <w:p>
      <w:pPr>
        <w:pStyle w:val="BodyText"/>
        <w:numPr>
          <w:ilvl w:val="0"/>
          <w:numId w:val="5"/>
        </w:numPr>
        <w:tabs>
          <w:tab w:val="clear" w:pos="720"/>
          <w:tab w:val="left" w:pos="0" w:leader="none"/>
        </w:tabs>
        <w:ind w:hanging="284" w:left="708"/>
        <w:rPr/>
      </w:pPr>
      <w:r>
        <w:rPr>
          <w:b w:val="false"/>
          <w:bCs w:val="false"/>
        </w:rPr>
        <w:t xml:space="preserve">A contratação por preço global garante </w:t>
      </w:r>
      <w:r>
        <w:rPr>
          <w:rStyle w:val="Strong"/>
          <w:b w:val="false"/>
          <w:bCs w:val="false"/>
        </w:rPr>
        <w:t>controle orçamentário e clareza no escopo</w:t>
      </w:r>
      <w:r>
        <w:rPr>
          <w:b w:val="false"/>
          <w:bCs w:val="false"/>
        </w:rPr>
        <w:t>;</w:t>
      </w:r>
    </w:p>
    <w:p>
      <w:pPr>
        <w:pStyle w:val="BodyText"/>
        <w:numPr>
          <w:ilvl w:val="0"/>
          <w:numId w:val="5"/>
        </w:numPr>
        <w:tabs>
          <w:tab w:val="clear" w:pos="720"/>
          <w:tab w:val="left" w:pos="0" w:leader="none"/>
        </w:tabs>
        <w:ind w:hanging="284" w:left="708"/>
        <w:rPr/>
      </w:pPr>
      <w:r>
        <w:rPr>
          <w:b w:val="false"/>
          <w:bCs w:val="false"/>
        </w:rPr>
        <w:t xml:space="preserve">O procedimento licitatório assegura </w:t>
      </w:r>
      <w:r>
        <w:rPr>
          <w:rStyle w:val="Strong"/>
          <w:b w:val="false"/>
          <w:bCs w:val="false"/>
        </w:rPr>
        <w:t>transparência, competitividade e aderência legal</w:t>
      </w:r>
      <w:r>
        <w:rPr>
          <w:b w:val="false"/>
          <w:bCs w:val="false"/>
        </w:rPr>
        <w:t>, conforme a Lei nº 14.133/2021;</w:t>
      </w:r>
    </w:p>
    <w:p>
      <w:pPr>
        <w:pStyle w:val="BodyText"/>
        <w:numPr>
          <w:ilvl w:val="0"/>
          <w:numId w:val="5"/>
        </w:numPr>
        <w:tabs>
          <w:tab w:val="clear" w:pos="720"/>
          <w:tab w:val="left" w:pos="0" w:leader="none"/>
        </w:tabs>
        <w:ind w:hanging="284" w:left="708"/>
        <w:rPr/>
      </w:pPr>
      <w:r>
        <w:rPr>
          <w:b w:val="false"/>
          <w:bCs w:val="false"/>
        </w:rPr>
        <w:t xml:space="preserve">A contratação viabiliza a execução por empresa </w:t>
      </w:r>
      <w:r>
        <w:rPr>
          <w:rStyle w:val="Strong"/>
          <w:b w:val="false"/>
          <w:bCs w:val="false"/>
        </w:rPr>
        <w:t>com experiência comprovada em obras de infraestrutura urbana</w:t>
      </w:r>
      <w:r>
        <w:rPr>
          <w:b w:val="false"/>
          <w:bCs w:val="false"/>
        </w:rPr>
        <w:t>.</w:t>
      </w:r>
    </w:p>
    <w:p>
      <w:pPr>
        <w:pStyle w:val="BodyText"/>
        <w:numPr>
          <w:ilvl w:val="0"/>
          <w:numId w:val="0"/>
        </w:numPr>
        <w:ind w:hanging="0" w:left="720"/>
        <w:rPr>
          <w:rFonts w:eastAsia="Merriweather"/>
          <w:b w:val="false"/>
          <w:bCs w:val="false"/>
          <w:color w:val="C00000"/>
        </w:rPr>
      </w:pPr>
      <w:r>
        <w:rPr>
          <w:rFonts w:eastAsia="Merriweather"/>
          <w:b w:val="false"/>
          <w:bCs w:val="false"/>
          <w:color w:val="C00000"/>
        </w:rPr>
      </w:r>
    </w:p>
    <w:p>
      <w:pPr>
        <w:pStyle w:val="Normal"/>
        <w:spacing w:lineRule="auto" w:line="360"/>
        <w:ind w:hanging="2" w:left="0"/>
        <w:jc w:val="both"/>
        <w:rPr>
          <w:rFonts w:eastAsia="Merriweather"/>
        </w:rPr>
      </w:pPr>
      <w:r>
        <w:rPr>
          <w:rFonts w:eastAsia="Merriweather"/>
          <w:b/>
        </w:rPr>
        <w:t>IV - Detalhamento da Solução Escolhida</w:t>
      </w:r>
      <w:r>
        <w:rPr>
          <w:rFonts w:eastAsia="Merriweather"/>
        </w:rPr>
        <w:t>:</w:t>
      </w:r>
    </w:p>
    <w:p>
      <w:pPr>
        <w:pStyle w:val="Normal"/>
        <w:numPr>
          <w:ilvl w:val="0"/>
          <w:numId w:val="2"/>
        </w:numPr>
        <w:spacing w:lineRule="auto" w:line="360"/>
        <w:ind w:hanging="2" w:left="0"/>
        <w:jc w:val="both"/>
        <w:rPr>
          <w:b/>
          <w:bCs/>
        </w:rPr>
      </w:pPr>
      <w:r>
        <w:rPr>
          <w:rFonts w:eastAsia="Merriweather"/>
          <w:b/>
          <w:bCs/>
        </w:rPr>
        <w:t>Descrição da solução como um todo (art. 15, §1º, VII do Decreto nº 3.537/2023):</w:t>
      </w:r>
    </w:p>
    <w:p>
      <w:pPr>
        <w:pStyle w:val="BodyText"/>
        <w:rPr/>
      </w:pPr>
      <w:r>
        <w:rPr>
          <w:b w:val="false"/>
          <w:bCs w:val="false"/>
        </w:rPr>
        <w:t xml:space="preserve">A solução escolhida pela Administração Pública Municipal consiste na </w:t>
      </w:r>
      <w:r>
        <w:rPr>
          <w:rStyle w:val="Strong"/>
          <w:b w:val="false"/>
          <w:bCs w:val="false"/>
        </w:rPr>
        <w:t>contratação de empresa especializada para execução de obra de infraestrutura urbana</w:t>
      </w:r>
      <w:r>
        <w:rPr>
          <w:b w:val="false"/>
          <w:bCs w:val="false"/>
        </w:rPr>
        <w:t xml:space="preserve">, com foco na implantação de sistema de </w:t>
      </w:r>
      <w:r>
        <w:rPr>
          <w:rStyle w:val="Strong"/>
          <w:b w:val="false"/>
          <w:bCs w:val="false"/>
        </w:rPr>
        <w:t>drenagem pluvial na região do Loteamento Yara e Vila União</w:t>
      </w:r>
      <w:r>
        <w:rPr>
          <w:b w:val="false"/>
          <w:bCs w:val="false"/>
        </w:rPr>
        <w:t xml:space="preserve">, com fornecimento de </w:t>
      </w:r>
      <w:r>
        <w:rPr>
          <w:rStyle w:val="Strong"/>
          <w:b w:val="false"/>
          <w:bCs w:val="false"/>
        </w:rPr>
        <w:t>todos os materiais, mão de obra, equipamentos e serviços necessários</w:t>
      </w:r>
      <w:r>
        <w:rPr>
          <w:b w:val="false"/>
          <w:bCs w:val="false"/>
        </w:rPr>
        <w:t>.</w:t>
      </w:r>
    </w:p>
    <w:p>
      <w:pPr>
        <w:pStyle w:val="BodyText"/>
        <w:rPr/>
      </w:pPr>
      <w:r>
        <w:rPr>
          <w:b w:val="false"/>
          <w:bCs w:val="false"/>
        </w:rPr>
        <w:t xml:space="preserve">Trata-se de uma </w:t>
      </w:r>
      <w:r>
        <w:rPr>
          <w:rStyle w:val="Strong"/>
          <w:b w:val="false"/>
          <w:bCs w:val="false"/>
        </w:rPr>
        <w:t>contratação de serviço de engenharia</w:t>
      </w:r>
      <w:r>
        <w:rPr>
          <w:b w:val="false"/>
          <w:bCs w:val="false"/>
        </w:rPr>
        <w:t xml:space="preserve">, cujo objeto é a </w:t>
      </w:r>
      <w:r>
        <w:rPr>
          <w:rStyle w:val="Strong"/>
          <w:b w:val="false"/>
          <w:bCs w:val="false"/>
        </w:rPr>
        <w:t>execução integral da obra</w:t>
      </w:r>
      <w:r>
        <w:rPr>
          <w:b w:val="false"/>
          <w:bCs w:val="false"/>
        </w:rPr>
        <w:t>, compreendendo:</w:t>
      </w:r>
    </w:p>
    <w:p>
      <w:pPr>
        <w:pStyle w:val="BodyText"/>
        <w:numPr>
          <w:ilvl w:val="0"/>
          <w:numId w:val="7"/>
        </w:numPr>
        <w:tabs>
          <w:tab w:val="clear" w:pos="720"/>
          <w:tab w:val="left" w:pos="0" w:leader="none"/>
        </w:tabs>
        <w:rPr/>
      </w:pPr>
      <w:r>
        <w:rPr>
          <w:b w:val="false"/>
          <w:bCs w:val="false"/>
        </w:rPr>
        <w:t xml:space="preserve">Implantação de </w:t>
      </w:r>
      <w:r>
        <w:rPr>
          <w:rStyle w:val="Strong"/>
          <w:b w:val="false"/>
          <w:bCs w:val="false"/>
        </w:rPr>
        <w:t>187 metros lineares de galeria subterrânea</w:t>
      </w:r>
      <w:r>
        <w:rPr>
          <w:b w:val="false"/>
          <w:bCs w:val="false"/>
        </w:rPr>
        <w:t xml:space="preserve">, com tubo de concreto armado de </w:t>
      </w:r>
      <w:r>
        <w:rPr>
          <w:rStyle w:val="Strong"/>
          <w:b w:val="false"/>
          <w:bCs w:val="false"/>
        </w:rPr>
        <w:t>Ø1000mm</w:t>
      </w:r>
      <w:r>
        <w:rPr>
          <w:b w:val="false"/>
          <w:bCs w:val="false"/>
        </w:rPr>
        <w:t>, incluindo escavação, assentamento e reaterro;</w:t>
      </w:r>
    </w:p>
    <w:p>
      <w:pPr>
        <w:pStyle w:val="BodyText"/>
        <w:numPr>
          <w:ilvl w:val="0"/>
          <w:numId w:val="7"/>
        </w:numPr>
        <w:tabs>
          <w:tab w:val="clear" w:pos="720"/>
          <w:tab w:val="left" w:pos="0" w:leader="none"/>
        </w:tabs>
        <w:rPr/>
      </w:pPr>
      <w:r>
        <w:rPr>
          <w:b w:val="false"/>
          <w:bCs w:val="false"/>
        </w:rPr>
        <w:t xml:space="preserve">Execução de </w:t>
      </w:r>
      <w:r>
        <w:rPr>
          <w:rStyle w:val="Strong"/>
          <w:b w:val="false"/>
          <w:bCs w:val="false"/>
        </w:rPr>
        <w:t>poços de visita (PVs)</w:t>
      </w:r>
      <w:r>
        <w:rPr>
          <w:b w:val="false"/>
          <w:bCs w:val="false"/>
        </w:rPr>
        <w:t xml:space="preserve"> e </w:t>
      </w:r>
      <w:r>
        <w:rPr>
          <w:rStyle w:val="Strong"/>
          <w:b w:val="false"/>
          <w:bCs w:val="false"/>
        </w:rPr>
        <w:t>caixas de ligação em alvenaria</w:t>
      </w:r>
      <w:r>
        <w:rPr>
          <w:b w:val="false"/>
          <w:bCs w:val="false"/>
        </w:rPr>
        <w:t>, conforme projeto técnico;</w:t>
      </w:r>
    </w:p>
    <w:p>
      <w:pPr>
        <w:pStyle w:val="BodyText"/>
        <w:numPr>
          <w:ilvl w:val="0"/>
          <w:numId w:val="7"/>
        </w:numPr>
        <w:tabs>
          <w:tab w:val="clear" w:pos="720"/>
          <w:tab w:val="left" w:pos="0" w:leader="none"/>
        </w:tabs>
        <w:rPr/>
      </w:pPr>
      <w:r>
        <w:rPr>
          <w:b w:val="false"/>
          <w:bCs w:val="false"/>
        </w:rPr>
        <w:t xml:space="preserve">Construção de </w:t>
      </w:r>
      <w:r>
        <w:rPr>
          <w:rStyle w:val="Strong"/>
          <w:b w:val="false"/>
          <w:bCs w:val="false"/>
        </w:rPr>
        <w:t>dissipador de energia em degraus</w:t>
      </w:r>
      <w:r>
        <w:rPr>
          <w:b w:val="false"/>
          <w:bCs w:val="false"/>
        </w:rPr>
        <w:t>, com estrutura em concreto armado, aço CA-50 e formas de madeira;</w:t>
      </w:r>
    </w:p>
    <w:p>
      <w:pPr>
        <w:pStyle w:val="BodyText"/>
        <w:numPr>
          <w:ilvl w:val="0"/>
          <w:numId w:val="7"/>
        </w:numPr>
        <w:tabs>
          <w:tab w:val="clear" w:pos="720"/>
          <w:tab w:val="left" w:pos="0" w:leader="none"/>
        </w:tabs>
        <w:rPr/>
      </w:pPr>
      <w:r>
        <w:rPr>
          <w:rStyle w:val="Strong"/>
          <w:b w:val="false"/>
          <w:bCs w:val="false"/>
        </w:rPr>
        <w:t>Recomposição total do pavimento asfáltico</w:t>
      </w:r>
      <w:r>
        <w:rPr>
          <w:b w:val="false"/>
          <w:bCs w:val="false"/>
        </w:rPr>
        <w:t xml:space="preserve"> nos trechos afetados pela obra, com sub-base, base, capa de rolamento (CBUQ), pintura de ligação e imprimação;</w:t>
      </w:r>
    </w:p>
    <w:p>
      <w:pPr>
        <w:pStyle w:val="BodyText"/>
        <w:numPr>
          <w:ilvl w:val="0"/>
          <w:numId w:val="7"/>
        </w:numPr>
        <w:tabs>
          <w:tab w:val="clear" w:pos="720"/>
          <w:tab w:val="left" w:pos="0" w:leader="none"/>
        </w:tabs>
        <w:rPr/>
      </w:pPr>
      <w:r>
        <w:rPr>
          <w:b w:val="false"/>
          <w:bCs w:val="false"/>
        </w:rPr>
        <w:t xml:space="preserve">Instalação de </w:t>
      </w:r>
      <w:r>
        <w:rPr>
          <w:rStyle w:val="Strong"/>
          <w:b w:val="false"/>
          <w:bCs w:val="false"/>
        </w:rPr>
        <w:t>placa de obra</w:t>
      </w:r>
      <w:r>
        <w:rPr>
          <w:b w:val="false"/>
          <w:bCs w:val="false"/>
        </w:rPr>
        <w:t xml:space="preserve"> conforme exigência normativa.</w:t>
      </w:r>
    </w:p>
    <w:p>
      <w:pPr>
        <w:pStyle w:val="BodyText"/>
        <w:rPr/>
      </w:pPr>
      <w:r>
        <w:rPr>
          <w:b w:val="false"/>
          <w:bCs w:val="false"/>
        </w:rPr>
        <w:t xml:space="preserve">Todos os serviços estão integrados em </w:t>
      </w:r>
      <w:r>
        <w:rPr>
          <w:rStyle w:val="Strong"/>
          <w:b w:val="false"/>
          <w:bCs w:val="false"/>
        </w:rPr>
        <w:t>um único objeto contratual</w:t>
      </w:r>
      <w:r>
        <w:rPr>
          <w:b w:val="false"/>
          <w:bCs w:val="false"/>
        </w:rPr>
        <w:t xml:space="preserve">, a ser executado de forma contínua, no prazo máximo de </w:t>
      </w:r>
      <w:r>
        <w:rPr>
          <w:rStyle w:val="Strong"/>
          <w:b w:val="false"/>
          <w:bCs w:val="false"/>
        </w:rPr>
        <w:t>60 (sessenta) dias corridos</w:t>
      </w:r>
      <w:r>
        <w:rPr>
          <w:b w:val="false"/>
          <w:bCs w:val="false"/>
        </w:rPr>
        <w:t>.</w:t>
      </w:r>
    </w:p>
    <w:p>
      <w:pPr>
        <w:pStyle w:val="BodyText"/>
        <w:rPr/>
      </w:pPr>
      <w:r>
        <w:rPr>
          <w:b w:val="false"/>
          <w:bCs w:val="false"/>
        </w:rPr>
        <w:t xml:space="preserve">A contratação será realizada por meio de </w:t>
      </w:r>
      <w:r>
        <w:rPr>
          <w:rStyle w:val="Strong"/>
          <w:b w:val="false"/>
          <w:bCs w:val="false"/>
        </w:rPr>
        <w:t>licitação pública</w:t>
      </w:r>
      <w:r>
        <w:rPr>
          <w:b w:val="false"/>
          <w:bCs w:val="false"/>
        </w:rPr>
        <w:t xml:space="preserve">, na </w:t>
      </w:r>
      <w:r>
        <w:rPr>
          <w:rStyle w:val="Strong"/>
          <w:b w:val="false"/>
          <w:bCs w:val="false"/>
        </w:rPr>
        <w:t>modalidade concorrência</w:t>
      </w:r>
      <w:r>
        <w:rPr>
          <w:b w:val="false"/>
          <w:bCs w:val="false"/>
        </w:rPr>
        <w:t xml:space="preserve">, com critério de julgamento de </w:t>
      </w:r>
      <w:r>
        <w:rPr>
          <w:rStyle w:val="Strong"/>
          <w:b w:val="false"/>
          <w:bCs w:val="false"/>
        </w:rPr>
        <w:t>menor preço global</w:t>
      </w:r>
      <w:r>
        <w:rPr>
          <w:b w:val="false"/>
          <w:bCs w:val="false"/>
        </w:rPr>
        <w:t xml:space="preserve">, conforme previsto na </w:t>
      </w:r>
      <w:r>
        <w:rPr>
          <w:rStyle w:val="Strong"/>
          <w:b w:val="false"/>
          <w:bCs w:val="false"/>
        </w:rPr>
        <w:t>Lei nº 14.133/2021</w:t>
      </w:r>
      <w:r>
        <w:rPr>
          <w:b w:val="false"/>
          <w:bCs w:val="false"/>
        </w:rPr>
        <w:t>, tendo em vista o valor estimado da contratação (R$ 328.977,92), que exige adoção da referida modalidade para obras e serviços de engenharia acima de R$ 261.000,00.</w:t>
      </w:r>
    </w:p>
    <w:p>
      <w:pPr>
        <w:pStyle w:val="BodyText"/>
        <w:rPr>
          <w:b w:val="false"/>
          <w:bCs w:val="false"/>
        </w:rPr>
      </w:pPr>
      <w:r>
        <w:rPr>
          <w:b w:val="false"/>
          <w:bCs w:val="false"/>
        </w:rPr>
        <w:t>A escolha desta solução é respaldada em:</w:t>
      </w:r>
    </w:p>
    <w:p>
      <w:pPr>
        <w:pStyle w:val="BodyText"/>
        <w:numPr>
          <w:ilvl w:val="0"/>
          <w:numId w:val="6"/>
        </w:numPr>
        <w:tabs>
          <w:tab w:val="clear" w:pos="720"/>
          <w:tab w:val="left" w:pos="0" w:leader="none"/>
        </w:tabs>
        <w:ind w:hanging="284" w:left="708"/>
        <w:rPr/>
      </w:pPr>
      <w:r>
        <w:rPr>
          <w:rStyle w:val="Strong"/>
          <w:b w:val="false"/>
          <w:bCs w:val="false"/>
        </w:rPr>
        <w:t>Projeto executivo completo</w:t>
      </w:r>
      <w:r>
        <w:rPr>
          <w:b w:val="false"/>
          <w:bCs w:val="false"/>
        </w:rPr>
        <w:t xml:space="preserve"> e compatível com a realidade do local;</w:t>
      </w:r>
    </w:p>
    <w:p>
      <w:pPr>
        <w:pStyle w:val="BodyText"/>
        <w:numPr>
          <w:ilvl w:val="0"/>
          <w:numId w:val="6"/>
        </w:numPr>
        <w:tabs>
          <w:tab w:val="clear" w:pos="720"/>
          <w:tab w:val="left" w:pos="0" w:leader="none"/>
        </w:tabs>
        <w:ind w:hanging="284" w:left="708"/>
        <w:rPr/>
      </w:pPr>
      <w:r>
        <w:rPr>
          <w:rStyle w:val="Strong"/>
          <w:b w:val="false"/>
          <w:bCs w:val="false"/>
        </w:rPr>
        <w:t>Planilha de dimensionamento hidráulico</w:t>
      </w:r>
      <w:r>
        <w:rPr>
          <w:b w:val="false"/>
          <w:bCs w:val="false"/>
        </w:rPr>
        <w:t xml:space="preserve"> fundamentada em metodologia racional;</w:t>
      </w:r>
    </w:p>
    <w:p>
      <w:pPr>
        <w:pStyle w:val="BodyText"/>
        <w:numPr>
          <w:ilvl w:val="0"/>
          <w:numId w:val="6"/>
        </w:numPr>
        <w:tabs>
          <w:tab w:val="clear" w:pos="720"/>
          <w:tab w:val="left" w:pos="0" w:leader="none"/>
        </w:tabs>
        <w:ind w:hanging="284" w:left="708"/>
        <w:rPr/>
      </w:pPr>
      <w:r>
        <w:rPr>
          <w:rStyle w:val="Strong"/>
          <w:b w:val="false"/>
          <w:bCs w:val="false"/>
        </w:rPr>
        <w:t>Estimativa de custo baseada em preços oficiais (SINAPI/SECID)</w:t>
      </w:r>
      <w:r>
        <w:rPr>
          <w:b w:val="false"/>
          <w:bCs w:val="false"/>
        </w:rPr>
        <w:t>;</w:t>
      </w:r>
    </w:p>
    <w:p>
      <w:pPr>
        <w:pStyle w:val="BodyText"/>
        <w:numPr>
          <w:ilvl w:val="0"/>
          <w:numId w:val="6"/>
        </w:numPr>
        <w:tabs>
          <w:tab w:val="clear" w:pos="720"/>
          <w:tab w:val="left" w:pos="0" w:leader="none"/>
        </w:tabs>
        <w:ind w:hanging="284" w:left="708"/>
        <w:rPr/>
      </w:pPr>
      <w:r>
        <w:rPr>
          <w:rStyle w:val="Strong"/>
          <w:b w:val="false"/>
          <w:bCs w:val="false"/>
        </w:rPr>
        <w:t>Recomendação formal do Ministério Público</w:t>
      </w:r>
      <w:r>
        <w:rPr>
          <w:b w:val="false"/>
          <w:bCs w:val="false"/>
        </w:rPr>
        <w:t xml:space="preserve"> para solução definitiva da drenagem na área.</w:t>
      </w:r>
    </w:p>
    <w:p>
      <w:pPr>
        <w:pStyle w:val="Normal"/>
        <w:numPr>
          <w:ilvl w:val="0"/>
          <w:numId w:val="2"/>
        </w:numPr>
        <w:spacing w:lineRule="auto" w:line="360"/>
        <w:ind w:hanging="2" w:left="0"/>
        <w:jc w:val="both"/>
        <w:rPr>
          <w:b/>
          <w:bCs/>
        </w:rPr>
      </w:pPr>
      <w:r>
        <w:rPr>
          <w:rFonts w:eastAsia="Merriweather"/>
          <w:b/>
          <w:bCs/>
        </w:rPr>
        <w:t xml:space="preserve">Justificativas para o parcelamento ou não da contratação (artigo 15,§1º, VIII do Decreto nº 3.537/2023): </w:t>
      </w:r>
    </w:p>
    <w:p>
      <w:pPr>
        <w:pStyle w:val="Normal"/>
        <w:spacing w:lineRule="auto" w:line="360"/>
        <w:ind w:hanging="2" w:left="0"/>
        <w:jc w:val="both"/>
        <w:rPr/>
      </w:pPr>
      <w:r>
        <w:rPr>
          <w:rFonts w:eastAsia="Merriweather"/>
          <w:b w:val="false"/>
          <w:bCs w:val="false"/>
        </w:rPr>
        <w:t xml:space="preserve">Contratação </w:t>
      </w:r>
      <w:r>
        <w:rPr>
          <w:rStyle w:val="Strong"/>
          <w:rFonts w:eastAsia="Merriweather"/>
          <w:b w:val="false"/>
          <w:bCs w:val="false"/>
        </w:rPr>
        <w:t>não será parcelada</w:t>
      </w:r>
      <w:r>
        <w:rPr>
          <w:rFonts w:eastAsia="Merriweather"/>
          <w:b w:val="false"/>
          <w:bCs w:val="false"/>
        </w:rPr>
        <w:t xml:space="preserve">, uma vez que os serviços são </w:t>
      </w:r>
      <w:r>
        <w:rPr>
          <w:rStyle w:val="Strong"/>
          <w:rFonts w:eastAsia="Merriweather"/>
          <w:b w:val="false"/>
          <w:bCs w:val="false"/>
        </w:rPr>
        <w:t>tecnicamente interdependentes</w:t>
      </w:r>
      <w:r>
        <w:rPr>
          <w:rFonts w:eastAsia="Merriweather"/>
          <w:b w:val="false"/>
          <w:bCs w:val="false"/>
        </w:rPr>
        <w:t xml:space="preserve"> e fazem parte de uma mesma cadeia lógica de execução. O fracionamento comprometeria a integridade da obra, aumentaria o risco contratual e dificultaria o controle técnico e financeiro por parte da Administração </w:t>
      </w:r>
    </w:p>
    <w:p>
      <w:pPr>
        <w:pStyle w:val="Normal"/>
        <w:spacing w:lineRule="auto" w:line="360"/>
        <w:ind w:hanging="2" w:left="0"/>
        <w:jc w:val="both"/>
        <w:rPr>
          <w:rFonts w:eastAsia="Merriweather"/>
          <w:color w:val="C00000"/>
        </w:rPr>
      </w:pPr>
      <w:r>
        <w:rPr>
          <w:rFonts w:eastAsia="Merriweather"/>
          <w:color w:val="C00000"/>
        </w:rPr>
      </w:r>
    </w:p>
    <w:p>
      <w:pPr>
        <w:pStyle w:val="Normal"/>
        <w:numPr>
          <w:ilvl w:val="0"/>
          <w:numId w:val="2"/>
        </w:numPr>
        <w:spacing w:lineRule="auto" w:line="360"/>
        <w:ind w:hanging="2" w:left="0"/>
        <w:jc w:val="both"/>
        <w:rPr>
          <w:b/>
          <w:bCs/>
        </w:rPr>
      </w:pPr>
      <w:r>
        <w:rPr>
          <w:rFonts w:eastAsia="Merriweather"/>
          <w:b/>
          <w:bCs/>
        </w:rPr>
        <w:t>Contratações correlatas e/ou interdependentes (art. 15, §1º, XI do Decreto nº 3.537/2023):</w:t>
      </w:r>
    </w:p>
    <w:p>
      <w:pPr>
        <w:pStyle w:val="BodyText"/>
        <w:ind w:hanging="0" w:left="-1"/>
        <w:rPr/>
      </w:pPr>
      <w:r>
        <w:rPr>
          <w:b w:val="false"/>
          <w:bCs w:val="false"/>
        </w:rPr>
        <w:t xml:space="preserve">Até o presente momento, </w:t>
      </w:r>
      <w:r>
        <w:rPr>
          <w:rStyle w:val="Strong"/>
          <w:b w:val="false"/>
          <w:bCs w:val="false"/>
        </w:rPr>
        <w:t>não foram identificadas contratações interdependentes em andamento ou previstas</w:t>
      </w:r>
      <w:r>
        <w:rPr>
          <w:b w:val="false"/>
          <w:bCs w:val="false"/>
        </w:rPr>
        <w:t xml:space="preserve"> que estejam diretamente vinculadas à execução da obra de drenagem pluvial na região do </w:t>
      </w:r>
      <w:r>
        <w:rPr>
          <w:rStyle w:val="Strong"/>
          <w:b w:val="false"/>
          <w:bCs w:val="false"/>
        </w:rPr>
        <w:t>Loteamento Yara e Vila União</w:t>
      </w:r>
      <w:r>
        <w:rPr>
          <w:b w:val="false"/>
          <w:bCs w:val="false"/>
        </w:rPr>
        <w:t>.</w:t>
      </w:r>
    </w:p>
    <w:p>
      <w:pPr>
        <w:pStyle w:val="BodyText"/>
        <w:rPr/>
      </w:pPr>
      <w:r>
        <w:rPr>
          <w:b w:val="false"/>
          <w:bCs w:val="false"/>
        </w:rPr>
        <w:t xml:space="preserve">A contratação ora em análise </w:t>
      </w:r>
      <w:r>
        <w:rPr>
          <w:rStyle w:val="Strong"/>
          <w:b w:val="false"/>
          <w:bCs w:val="false"/>
        </w:rPr>
        <w:t>não depende de outros contratos para sua execução</w:t>
      </w:r>
      <w:r>
        <w:rPr>
          <w:b w:val="false"/>
          <w:bCs w:val="false"/>
        </w:rPr>
        <w:t xml:space="preserve">, tampouco condicionará, por si só, a execução de outros serviços públicos futuros, uma vez que o projeto de drenagem apresentado foi elaborado de forma </w:t>
      </w:r>
      <w:r>
        <w:rPr>
          <w:rStyle w:val="Strong"/>
          <w:b w:val="false"/>
          <w:bCs w:val="false"/>
        </w:rPr>
        <w:t>autônoma, completa e funcional</w:t>
      </w:r>
      <w:r>
        <w:rPr>
          <w:b w:val="false"/>
          <w:bCs w:val="false"/>
        </w:rPr>
        <w:t>, visando resolver a demanda específica da região.</w:t>
      </w:r>
    </w:p>
    <w:p>
      <w:pPr>
        <w:pStyle w:val="BodyText"/>
        <w:rPr/>
      </w:pPr>
      <w:r>
        <w:rPr>
          <w:b w:val="false"/>
          <w:bCs w:val="false"/>
        </w:rPr>
        <w:t xml:space="preserve">Trata-se de uma contratação com </w:t>
      </w:r>
      <w:r>
        <w:rPr>
          <w:rStyle w:val="Strong"/>
          <w:b w:val="false"/>
          <w:bCs w:val="false"/>
        </w:rPr>
        <w:t>caráter independente</w:t>
      </w:r>
      <w:r>
        <w:rPr>
          <w:b w:val="false"/>
          <w:bCs w:val="false"/>
        </w:rPr>
        <w:t xml:space="preserve">, </w:t>
      </w:r>
      <w:r>
        <w:rPr>
          <w:rStyle w:val="Strong"/>
          <w:b w:val="false"/>
          <w:bCs w:val="false"/>
        </w:rPr>
        <w:t>sem vínculos técnicos diretos com outras contratações em curso ou previstas</w:t>
      </w:r>
      <w:r>
        <w:rPr>
          <w:b w:val="false"/>
          <w:bCs w:val="false"/>
        </w:rPr>
        <w:t>, mas que poderá futuramente se integrar de forma sinérgica a políticas públicas de mobilidade e infraestrutura urbana do Município.</w:t>
      </w:r>
    </w:p>
    <w:p>
      <w:pPr>
        <w:pStyle w:val="BodyText"/>
        <w:rPr>
          <w:rFonts w:eastAsia="Merriweather"/>
          <w:color w:val="C00000"/>
        </w:rPr>
      </w:pPr>
      <w:r>
        <w:rPr>
          <w:rFonts w:eastAsia="Merriweather"/>
          <w:color w:val="C00000"/>
        </w:rPr>
      </w:r>
    </w:p>
    <w:p>
      <w:pPr>
        <w:pStyle w:val="Normal"/>
        <w:numPr>
          <w:ilvl w:val="0"/>
          <w:numId w:val="2"/>
        </w:numPr>
        <w:spacing w:lineRule="auto" w:line="360"/>
        <w:ind w:hanging="2" w:left="0"/>
        <w:jc w:val="both"/>
        <w:rPr>
          <w:b/>
          <w:bCs/>
        </w:rPr>
      </w:pPr>
      <w:r>
        <w:rPr>
          <w:rFonts w:eastAsia="Merriweather"/>
          <w:b/>
          <w:bCs/>
        </w:rPr>
        <w:t>Providências a serem adotadas (art. 15, §1º, X do Decreto nº 3.537/2023):</w:t>
      </w:r>
    </w:p>
    <w:p>
      <w:pPr>
        <w:pStyle w:val="BodyText"/>
        <w:rPr>
          <w:b w:val="false"/>
          <w:bCs w:val="false"/>
        </w:rPr>
      </w:pPr>
      <w:r>
        <w:rPr>
          <w:b w:val="false"/>
          <w:bCs w:val="false"/>
        </w:rPr>
        <w:t>Para que a contratação alcance seus efeitos práticos e jurídicos, será necessário adotar uma sequência de providências administrativas e técnicas que assegurem a instrução regular do processo. Tais etapas visam garantir o cumprimento da legislação vigente e a viabilidade operacional da contratação, prevenindo atrasos ou inconsistências processuais.</w:t>
      </w:r>
    </w:p>
    <w:p>
      <w:pPr>
        <w:pStyle w:val="BodyText"/>
        <w:rPr>
          <w:color w:val="000000"/>
        </w:rPr>
      </w:pPr>
      <w:r>
        <w:rPr>
          <w:rFonts w:eastAsia="Merriweather"/>
          <w:color w:val="000000"/>
        </w:rPr>
        <w:t>As ações estão sistematizadas no quadro a seguir:</w:t>
      </w:r>
    </w:p>
    <w:p>
      <w:pPr>
        <w:pStyle w:val="BodyText"/>
        <w:rPr>
          <w:rFonts w:eastAsia="Merriweather"/>
        </w:rPr>
      </w:pPr>
      <w:r>
        <w:rPr>
          <w:rFonts w:eastAsia="Merriweather"/>
        </w:rPr>
      </w:r>
    </w:p>
    <w:tbl>
      <w:tblPr>
        <w:tblW w:w="9071" w:type="dxa"/>
        <w:jc w:val="lef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5427"/>
        <w:gridCol w:w="3643"/>
      </w:tblGrid>
      <w:tr>
        <w:trPr>
          <w:tblHeader w:val="true"/>
        </w:trPr>
        <w:tc>
          <w:tcPr>
            <w:tcW w:w="5427" w:type="dxa"/>
            <w:tcBorders/>
            <w:vAlign w:val="center"/>
          </w:tcPr>
          <w:p>
            <w:pPr>
              <w:pStyle w:val="Ttulodetabela"/>
              <w:rPr/>
            </w:pPr>
            <w:r>
              <w:rPr>
                <w:rStyle w:val="Strong"/>
                <w:b/>
              </w:rPr>
              <w:t>Atividade</w:t>
            </w:r>
          </w:p>
        </w:tc>
        <w:tc>
          <w:tcPr>
            <w:tcW w:w="3643" w:type="dxa"/>
            <w:tcBorders/>
            <w:vAlign w:val="center"/>
          </w:tcPr>
          <w:p>
            <w:pPr>
              <w:pStyle w:val="Ttulodetabela"/>
              <w:rPr/>
            </w:pPr>
            <w:r>
              <w:rPr>
                <w:rStyle w:val="Strong"/>
                <w:b/>
              </w:rPr>
              <w:t>Responsável</w:t>
            </w:r>
          </w:p>
        </w:tc>
      </w:tr>
      <w:tr>
        <w:trPr/>
        <w:tc>
          <w:tcPr>
            <w:tcW w:w="5427" w:type="dxa"/>
            <w:tcBorders/>
            <w:vAlign w:val="center"/>
          </w:tcPr>
          <w:p>
            <w:pPr>
              <w:pStyle w:val="Contedodatabela"/>
              <w:rPr/>
            </w:pPr>
            <w:r>
              <w:rPr/>
              <w:t>Consolidação e assinatura do Estudo Técnico Preliminar – ETP</w:t>
            </w:r>
          </w:p>
        </w:tc>
        <w:tc>
          <w:tcPr>
            <w:tcW w:w="3643" w:type="dxa"/>
            <w:tcBorders/>
            <w:vAlign w:val="center"/>
          </w:tcPr>
          <w:p>
            <w:pPr>
              <w:pStyle w:val="Contedodatabela"/>
              <w:rPr/>
            </w:pPr>
            <w:r>
              <w:rPr/>
              <w:t>Secretaria Municipal de Obras / Administração</w:t>
            </w:r>
          </w:p>
        </w:tc>
      </w:tr>
      <w:tr>
        <w:trPr/>
        <w:tc>
          <w:tcPr>
            <w:tcW w:w="5427" w:type="dxa"/>
            <w:tcBorders/>
            <w:vAlign w:val="center"/>
          </w:tcPr>
          <w:p>
            <w:pPr>
              <w:pStyle w:val="Contedodatabela"/>
              <w:rPr/>
            </w:pPr>
            <w:r>
              <w:rPr/>
              <w:t>Elaboração do Termo de Referência e demais documentos complementares</w:t>
            </w:r>
          </w:p>
        </w:tc>
        <w:tc>
          <w:tcPr>
            <w:tcW w:w="3643" w:type="dxa"/>
            <w:tcBorders/>
            <w:vAlign w:val="center"/>
          </w:tcPr>
          <w:p>
            <w:pPr>
              <w:pStyle w:val="Contedodatabela"/>
              <w:rPr/>
            </w:pPr>
            <w:r>
              <w:rPr/>
              <w:t>Secretaria de Obras / Administração</w:t>
            </w:r>
          </w:p>
        </w:tc>
      </w:tr>
      <w:tr>
        <w:trPr/>
        <w:tc>
          <w:tcPr>
            <w:tcW w:w="5427" w:type="dxa"/>
            <w:tcBorders/>
            <w:vAlign w:val="center"/>
          </w:tcPr>
          <w:p>
            <w:pPr>
              <w:pStyle w:val="Contedodatabela"/>
              <w:rPr/>
            </w:pPr>
            <w:r>
              <w:rPr/>
              <w:t>Encaminhamento do processo ao setor de licitações</w:t>
            </w:r>
          </w:p>
        </w:tc>
        <w:tc>
          <w:tcPr>
            <w:tcW w:w="3643" w:type="dxa"/>
            <w:tcBorders/>
            <w:vAlign w:val="center"/>
          </w:tcPr>
          <w:p>
            <w:pPr>
              <w:pStyle w:val="Contedodatabela"/>
              <w:rPr/>
            </w:pPr>
            <w:r>
              <w:rPr/>
              <w:t>Secretaria de Obras</w:t>
            </w:r>
          </w:p>
        </w:tc>
      </w:tr>
      <w:tr>
        <w:trPr/>
        <w:tc>
          <w:tcPr>
            <w:tcW w:w="5427" w:type="dxa"/>
            <w:tcBorders/>
            <w:vAlign w:val="center"/>
          </w:tcPr>
          <w:p>
            <w:pPr>
              <w:pStyle w:val="Contedodatabela"/>
              <w:rPr/>
            </w:pPr>
            <w:r>
              <w:rPr/>
              <w:t>Análise e conferência da documentação</w:t>
            </w:r>
          </w:p>
        </w:tc>
        <w:tc>
          <w:tcPr>
            <w:tcW w:w="3643" w:type="dxa"/>
            <w:tcBorders/>
            <w:vAlign w:val="center"/>
          </w:tcPr>
          <w:p>
            <w:pPr>
              <w:pStyle w:val="Contedodatabela"/>
              <w:rPr/>
            </w:pPr>
            <w:r>
              <w:rPr/>
              <w:t>Setor de Licitações</w:t>
            </w:r>
          </w:p>
        </w:tc>
      </w:tr>
      <w:tr>
        <w:trPr/>
        <w:tc>
          <w:tcPr>
            <w:tcW w:w="5427" w:type="dxa"/>
            <w:tcBorders/>
            <w:vAlign w:val="center"/>
          </w:tcPr>
          <w:p>
            <w:pPr>
              <w:pStyle w:val="Contedodatabela"/>
              <w:rPr/>
            </w:pPr>
            <w:r>
              <w:rPr/>
              <w:t>Encaminhamento ao setor jurídico para emissão de parecer</w:t>
            </w:r>
          </w:p>
        </w:tc>
        <w:tc>
          <w:tcPr>
            <w:tcW w:w="3643" w:type="dxa"/>
            <w:tcBorders/>
            <w:vAlign w:val="center"/>
          </w:tcPr>
          <w:p>
            <w:pPr>
              <w:pStyle w:val="Contedodatabela"/>
              <w:rPr/>
            </w:pPr>
            <w:r>
              <w:rPr/>
              <w:t>Setor de Licitações</w:t>
            </w:r>
          </w:p>
        </w:tc>
      </w:tr>
      <w:tr>
        <w:trPr/>
        <w:tc>
          <w:tcPr>
            <w:tcW w:w="5427" w:type="dxa"/>
            <w:tcBorders/>
            <w:vAlign w:val="center"/>
          </w:tcPr>
          <w:p>
            <w:pPr>
              <w:pStyle w:val="Contedodatabela"/>
              <w:rPr/>
            </w:pPr>
            <w:r>
              <w:rPr/>
              <w:t>Parecer jurídico sobre a regularidade do processo</w:t>
            </w:r>
          </w:p>
        </w:tc>
        <w:tc>
          <w:tcPr>
            <w:tcW w:w="3643" w:type="dxa"/>
            <w:tcBorders/>
            <w:vAlign w:val="center"/>
          </w:tcPr>
          <w:p>
            <w:pPr>
              <w:pStyle w:val="Contedodatabela"/>
              <w:rPr/>
            </w:pPr>
            <w:r>
              <w:rPr/>
              <w:t>Procuradoria Jurídica</w:t>
            </w:r>
          </w:p>
        </w:tc>
      </w:tr>
      <w:tr>
        <w:trPr/>
        <w:tc>
          <w:tcPr>
            <w:tcW w:w="5427" w:type="dxa"/>
            <w:tcBorders/>
            <w:vAlign w:val="center"/>
          </w:tcPr>
          <w:p>
            <w:pPr>
              <w:pStyle w:val="Contedodatabela"/>
              <w:rPr/>
            </w:pPr>
            <w:r>
              <w:rPr/>
              <w:t>Elaboração e publicação do edital (modalidade: concorrência)</w:t>
            </w:r>
          </w:p>
        </w:tc>
        <w:tc>
          <w:tcPr>
            <w:tcW w:w="3643" w:type="dxa"/>
            <w:tcBorders/>
            <w:vAlign w:val="center"/>
          </w:tcPr>
          <w:p>
            <w:pPr>
              <w:pStyle w:val="Contedodatabela"/>
              <w:rPr/>
            </w:pPr>
            <w:r>
              <w:rPr/>
              <w:t>Comissão de Licitação / Secretaria de Obras</w:t>
            </w:r>
          </w:p>
        </w:tc>
      </w:tr>
      <w:tr>
        <w:trPr/>
        <w:tc>
          <w:tcPr>
            <w:tcW w:w="5427" w:type="dxa"/>
            <w:tcBorders/>
            <w:vAlign w:val="center"/>
          </w:tcPr>
          <w:p>
            <w:pPr>
              <w:pStyle w:val="Contedodatabela"/>
              <w:rPr/>
            </w:pPr>
            <w:r>
              <w:rPr/>
              <w:t>Recebimento de propostas, julgamento e demais atos do certame</w:t>
            </w:r>
          </w:p>
        </w:tc>
        <w:tc>
          <w:tcPr>
            <w:tcW w:w="3643" w:type="dxa"/>
            <w:tcBorders/>
            <w:vAlign w:val="center"/>
          </w:tcPr>
          <w:p>
            <w:pPr>
              <w:pStyle w:val="Contedodatabela"/>
              <w:rPr/>
            </w:pPr>
            <w:r>
              <w:rPr/>
              <w:t>Comissão de Licitação</w:t>
            </w:r>
          </w:p>
        </w:tc>
      </w:tr>
      <w:tr>
        <w:trPr/>
        <w:tc>
          <w:tcPr>
            <w:tcW w:w="5427" w:type="dxa"/>
            <w:tcBorders/>
            <w:vAlign w:val="center"/>
          </w:tcPr>
          <w:p>
            <w:pPr>
              <w:pStyle w:val="Contedodatabela"/>
              <w:rPr/>
            </w:pPr>
            <w:r>
              <w:rPr/>
              <w:t>Homologação, adjudicação e assinatura do contrato</w:t>
            </w:r>
          </w:p>
        </w:tc>
        <w:tc>
          <w:tcPr>
            <w:tcW w:w="3643" w:type="dxa"/>
            <w:tcBorders/>
            <w:vAlign w:val="center"/>
          </w:tcPr>
          <w:p>
            <w:pPr>
              <w:pStyle w:val="Contedodatabela"/>
              <w:rPr/>
            </w:pPr>
            <w:r>
              <w:rPr/>
              <w:t>Secretaria de Administração / Prefeito</w:t>
            </w:r>
          </w:p>
        </w:tc>
      </w:tr>
      <w:tr>
        <w:trPr/>
        <w:tc>
          <w:tcPr>
            <w:tcW w:w="5427" w:type="dxa"/>
            <w:tcBorders/>
            <w:vAlign w:val="center"/>
          </w:tcPr>
          <w:p>
            <w:pPr>
              <w:pStyle w:val="Contedodatabela"/>
              <w:rPr/>
            </w:pPr>
            <w:r>
              <w:rPr/>
              <w:t>Emissão da Ordem de Serviço</w:t>
            </w:r>
          </w:p>
        </w:tc>
        <w:tc>
          <w:tcPr>
            <w:tcW w:w="3643" w:type="dxa"/>
            <w:tcBorders/>
            <w:vAlign w:val="center"/>
          </w:tcPr>
          <w:p>
            <w:pPr>
              <w:pStyle w:val="Contedodatabela"/>
              <w:rPr/>
            </w:pPr>
            <w:r>
              <w:rPr/>
              <w:t>Secretaria de Obras</w:t>
            </w:r>
          </w:p>
        </w:tc>
      </w:tr>
      <w:tr>
        <w:trPr/>
        <w:tc>
          <w:tcPr>
            <w:tcW w:w="5427" w:type="dxa"/>
            <w:tcBorders/>
            <w:vAlign w:val="center"/>
          </w:tcPr>
          <w:p>
            <w:pPr>
              <w:pStyle w:val="Contedodatabela"/>
              <w:rPr/>
            </w:pPr>
            <w:r>
              <w:rPr/>
              <w:t>Início da execução da obra</w:t>
            </w:r>
          </w:p>
        </w:tc>
        <w:tc>
          <w:tcPr>
            <w:tcW w:w="3643" w:type="dxa"/>
            <w:tcBorders/>
            <w:vAlign w:val="center"/>
          </w:tcPr>
          <w:p>
            <w:pPr>
              <w:pStyle w:val="Contedodatabela"/>
              <w:rPr/>
            </w:pPr>
            <w:r>
              <w:rPr/>
              <w:t>Empresa contratada / Fiscal do Contrato</w:t>
            </w:r>
          </w:p>
        </w:tc>
      </w:tr>
    </w:tbl>
    <w:p>
      <w:pPr>
        <w:pStyle w:val="Normal"/>
        <w:numPr>
          <w:ilvl w:val="0"/>
          <w:numId w:val="0"/>
        </w:numPr>
        <w:spacing w:lineRule="auto" w:line="360"/>
        <w:ind w:hanging="0" w:left="0"/>
        <w:jc w:val="both"/>
        <w:rPr>
          <w:rFonts w:eastAsia="Merriweather"/>
        </w:rPr>
      </w:pPr>
      <w:r>
        <w:rPr>
          <w:rFonts w:eastAsia="Merriweather"/>
        </w:rPr>
      </w:r>
    </w:p>
    <w:p>
      <w:pPr>
        <w:pStyle w:val="Normal"/>
        <w:spacing w:lineRule="auto" w:line="360"/>
        <w:ind w:hanging="0" w:left="0"/>
        <w:jc w:val="both"/>
        <w:rPr>
          <w:b/>
          <w:bCs/>
        </w:rPr>
      </w:pPr>
      <w:r>
        <w:rPr>
          <w:rFonts w:eastAsia="Merriweather"/>
          <w:b/>
          <w:bCs/>
        </w:rPr>
        <w:t>5. Possíveis impactos ambientais (art. 15, §1º, XII do Decreto nº 3.537/2023):</w:t>
      </w:r>
    </w:p>
    <w:p>
      <w:pPr>
        <w:pStyle w:val="BodyText"/>
        <w:rPr>
          <w:b w:val="false"/>
          <w:bCs w:val="false"/>
        </w:rPr>
      </w:pPr>
      <w:r>
        <w:rPr>
          <w:b w:val="false"/>
          <w:bCs w:val="false"/>
        </w:rPr>
        <w:t>A execução da obra de drenagem pluvial na região do Loteamento Yara e Vila União, embora localizada em área urbana consolidada e pavimentada, implica interferências temporárias no meio ambiente urbano, o que demanda atenção da Administração quanto à mitigação de impactos durante a fase de execução contratual.</w:t>
      </w:r>
    </w:p>
    <w:p>
      <w:pPr>
        <w:pStyle w:val="BodyText"/>
        <w:rPr/>
      </w:pPr>
      <w:r>
        <w:rPr/>
        <w:t>Ainda que não haja supressão de vegetação nativa, intervenções em áreas de preservação permanente ou impactos permanentes sobre o meio físico ou biótico, a natureza da intervenção — escavação de solo, assentamento de galerias, construção de dissipador e recomposição de pavimento — inevitavelmente gera efeitos localizados, diretos e controláveis. Entre eles, destacam-se a geração de resíduos da construção civil (RCC), emissão de poeira e ruídos, interferência temporária na mobilidade urbana e o risco de lançamento inadequado de materiais em bocas de lobo ou sistemas de drenagem existentes.</w:t>
      </w:r>
    </w:p>
    <w:p>
      <w:pPr>
        <w:pStyle w:val="BodyText"/>
        <w:rPr/>
      </w:pPr>
      <w:r>
        <w:rPr/>
        <w:t xml:space="preserve">Para mitigar esses efeitos, a empresa contratada deverá adotar medidas preventivas e corretivas compatíveis com as boas práticas de engenharia e normas ambientais vigentes. A gestão dos resíduos sólidos deverá seguir os parâmetros estabelecidos na </w:t>
      </w:r>
      <w:r>
        <w:rPr>
          <w:rStyle w:val="Strong"/>
        </w:rPr>
        <w:t>Resolução CONAMA nº 307/2002</w:t>
      </w:r>
      <w:r>
        <w:rPr/>
        <w:t>, que define diretrizes e procedimentos para a segregação, destinação e reaproveitamento de resíduos da construção civil. Além disso, deverão ser adotadas práticas de contenção e limpeza, tais como a sinalização e o isolamento das áreas de escavação, a limpeza das vias ao final de cada jornada de trabalho e o uso de maquinário com manutenção em dia, minimizando emissões atmosféricas e ruídos.</w:t>
      </w:r>
    </w:p>
    <w:p>
      <w:pPr>
        <w:pStyle w:val="BodyText"/>
        <w:rPr/>
      </w:pPr>
      <w:r>
        <w:rPr/>
        <w:t>Tais obrigações serão incorporadas ao Termo de Referência e ao contrato administrativo, sendo de responsabilidade da contratada a sua observância plena, sob fiscalização da Secretaria Municipal de Obras. A atuação preventiva nesse aspecto garante que a execução ocorra de forma eficiente e ambientalmente responsável, sem comprometer a qualidade de vida dos moradores do entorno nem o funcionamento do sistema viário.</w:t>
      </w:r>
    </w:p>
    <w:p>
      <w:pPr>
        <w:pStyle w:val="BodyText"/>
        <w:rPr/>
      </w:pPr>
      <w:r>
        <w:rPr/>
        <w:t xml:space="preserve">Conclui-se, portanto, que se trata de uma obra com </w:t>
      </w:r>
      <w:r>
        <w:rPr>
          <w:rStyle w:val="Strong"/>
        </w:rPr>
        <w:t>baixo impacto ambiental</w:t>
      </w:r>
      <w:r>
        <w:rPr/>
        <w:t>, cujos efeitos são de curta duração e plenamente mitigáveis, desde que observadas as medidas técnicas e legais cabíveis, permitindo assim a realização do objeto de forma sustentável e em conformidade com as normas aplicáveis.</w:t>
      </w:r>
    </w:p>
    <w:p>
      <w:pPr>
        <w:pStyle w:val="BodyText"/>
        <w:rPr>
          <w:rFonts w:eastAsia="Merriweather"/>
          <w:color w:val="C00000"/>
        </w:rPr>
      </w:pPr>
      <w:r>
        <w:rPr>
          <w:rFonts w:eastAsia="Merriweather"/>
          <w:color w:val="C00000"/>
        </w:rPr>
      </w:r>
    </w:p>
    <w:p>
      <w:pPr>
        <w:pStyle w:val="Normal"/>
        <w:spacing w:lineRule="auto" w:line="360"/>
        <w:ind w:hanging="0" w:left="0"/>
        <w:jc w:val="both"/>
        <w:rPr>
          <w:rFonts w:eastAsia="Merriweather"/>
          <w:b/>
        </w:rPr>
      </w:pPr>
      <w:r>
        <w:rPr>
          <w:rFonts w:eastAsia="Merriweather"/>
          <w:b/>
        </w:rPr>
        <w:t>V - Posicionamento Conclusivo (artigo 15,§1º, XIII do Decreto nº 3.537/2023):</w:t>
      </w:r>
    </w:p>
    <w:p>
      <w:pPr>
        <w:pStyle w:val="BodyText"/>
        <w:rPr>
          <w:b w:val="false"/>
          <w:bCs w:val="false"/>
        </w:rPr>
      </w:pPr>
      <w:r>
        <w:rPr>
          <w:b w:val="false"/>
          <w:bCs w:val="false"/>
        </w:rPr>
        <w:t xml:space="preserve">Diante da análise técnica realizada, conclui-se que a solução escolhida — contratação, por licitação pública na modalidade concorrência, de empresa especializada para execução de obra de drenagem pluvial — é </w:t>
      </w:r>
      <w:r>
        <w:rPr>
          <w:rStyle w:val="Strong"/>
          <w:b w:val="false"/>
          <w:bCs w:val="false"/>
        </w:rPr>
        <w:t>viável, adequada e plenamente capaz de atender à necessidade identificada</w:t>
      </w:r>
      <w:r>
        <w:rPr>
          <w:b w:val="false"/>
          <w:bCs w:val="false"/>
        </w:rPr>
        <w:t>, solucionando de forma definitiva os problemas recorrentes de escoamento de águas pluviais na região da Vila União e Loteamento Yara.</w:t>
      </w:r>
    </w:p>
    <w:p>
      <w:pPr>
        <w:pStyle w:val="BodyText"/>
        <w:rPr/>
      </w:pPr>
      <w:r>
        <w:rPr>
          <w:b w:val="false"/>
          <w:bCs w:val="false"/>
        </w:rPr>
        <w:t xml:space="preserve">A alternativa adotada foi definida com base em </w:t>
      </w:r>
      <w:r>
        <w:rPr>
          <w:rStyle w:val="Strong"/>
          <w:b w:val="false"/>
          <w:bCs w:val="false"/>
        </w:rPr>
        <w:t>projeto executivo compatível, dimensionamento técnico fundamentado, estimativa orçamentária atualizada</w:t>
      </w:r>
      <w:r>
        <w:rPr>
          <w:b w:val="false"/>
          <w:bCs w:val="false"/>
        </w:rPr>
        <w:t xml:space="preserve"> e na constatação de que </w:t>
      </w:r>
      <w:r>
        <w:rPr>
          <w:rStyle w:val="Strong"/>
          <w:b w:val="false"/>
          <w:bCs w:val="false"/>
        </w:rPr>
        <w:t>não há estrutura interna no Município para execução direta da obra</w:t>
      </w:r>
      <w:r>
        <w:rPr>
          <w:b w:val="false"/>
          <w:bCs w:val="false"/>
        </w:rPr>
        <w:t>. Além disso, o objeto encontra-se previsto no Plano Anual de Contratações (PAC 2025), e atende recomendação expressa do Ministério Público do Estado do Paraná.</w:t>
      </w:r>
    </w:p>
    <w:p>
      <w:pPr>
        <w:pStyle w:val="BodyText"/>
        <w:rPr/>
      </w:pPr>
      <w:r>
        <w:rPr>
          <w:rFonts w:eastAsia="Merriweather"/>
          <w:b w:val="false"/>
          <w:bCs w:val="false"/>
          <w:color w:val="000000"/>
        </w:rPr>
        <w:t xml:space="preserve">Portanto, a contratação mostra-se </w:t>
      </w:r>
      <w:r>
        <w:rPr>
          <w:rStyle w:val="Strong"/>
          <w:rFonts w:eastAsia="Merriweather"/>
          <w:b w:val="false"/>
          <w:bCs w:val="false"/>
          <w:color w:val="000000"/>
        </w:rPr>
        <w:t>necessária, tempestiva e justificada sob os aspectos técnico, jurídico, ambiental e orçamentário</w:t>
      </w:r>
      <w:r>
        <w:rPr>
          <w:rFonts w:eastAsia="Merriweather"/>
          <w:b w:val="false"/>
          <w:bCs w:val="false"/>
          <w:color w:val="000000"/>
        </w:rPr>
        <w:t>, representando a alternativa mais eficiente, segura e vantajosa para o interesse público</w:t>
      </w:r>
      <w:r>
        <w:rPr>
          <w:rFonts w:eastAsia="Merriweather"/>
          <w:b w:val="false"/>
          <w:bCs w:val="false"/>
          <w:color w:val="C00000"/>
        </w:rPr>
        <w:t>.</w:t>
      </w:r>
    </w:p>
    <w:p>
      <w:pPr>
        <w:pStyle w:val="Normal"/>
        <w:spacing w:lineRule="auto" w:line="360"/>
        <w:ind w:hanging="0" w:left="0"/>
        <w:jc w:val="right"/>
        <w:rPr>
          <w:rFonts w:eastAsia="Merriweather"/>
        </w:rPr>
      </w:pPr>
      <w:r>
        <w:rPr>
          <w:rFonts w:eastAsia="Merriweather"/>
        </w:rPr>
      </w:r>
    </w:p>
    <w:p>
      <w:pPr>
        <w:pStyle w:val="Normal"/>
        <w:spacing w:lineRule="auto" w:line="360"/>
        <w:ind w:hanging="0" w:left="0"/>
        <w:jc w:val="right"/>
        <w:rPr/>
      </w:pPr>
      <w:r>
        <w:rPr>
          <w:rFonts w:eastAsia="Merriweather"/>
        </w:rPr>
        <w:t>Bandeirantes, 09 de Julho de 2025</w:t>
      </w:r>
    </w:p>
    <w:p>
      <w:pPr>
        <w:pStyle w:val="Normal"/>
        <w:spacing w:lineRule="auto" w:line="360"/>
        <w:ind w:hanging="2" w:left="0"/>
        <w:jc w:val="right"/>
        <w:rPr>
          <w:rFonts w:eastAsia="Merriweather"/>
        </w:rPr>
      </w:pPr>
      <w:r>
        <w:rPr>
          <w:rFonts w:eastAsia="Merriweather"/>
        </w:rPr>
      </w:r>
    </w:p>
    <w:p>
      <w:pPr>
        <w:pStyle w:val="Normal"/>
        <w:spacing w:lineRule="auto" w:line="360"/>
        <w:ind w:hanging="2" w:left="0"/>
        <w:jc w:val="center"/>
        <w:rPr>
          <w:color w:val="980000"/>
        </w:rPr>
      </w:pPr>
      <w:r>
        <w:rPr>
          <w:color w:val="980000"/>
        </w:rPr>
      </w:r>
    </w:p>
    <w:p>
      <w:pPr>
        <w:pStyle w:val="Normal"/>
        <w:ind w:hanging="1" w:left="-1" w:right="51"/>
        <w:jc w:val="center"/>
        <w:rPr>
          <w:rFonts w:cs="Arial"/>
          <w:b/>
          <w:i/>
          <w:i/>
          <w:sz w:val="20"/>
          <w:szCs w:val="20"/>
        </w:rPr>
      </w:pPr>
      <w:r>
        <w:rPr>
          <w:rFonts w:cs="Arial"/>
          <w:b/>
          <w:i/>
          <w:sz w:val="20"/>
          <w:szCs w:val="20"/>
        </w:rPr>
      </w:r>
    </w:p>
    <w:p>
      <w:pPr>
        <w:pStyle w:val="Normal"/>
        <w:ind w:hanging="1" w:left="-1" w:right="51"/>
        <w:jc w:val="center"/>
        <w:rPr>
          <w:rFonts w:cs="Arial"/>
          <w:b/>
          <w:i/>
          <w:i/>
          <w:sz w:val="20"/>
          <w:szCs w:val="20"/>
        </w:rPr>
      </w:pPr>
      <w:r>
        <w:rPr>
          <w:rFonts w:cs="Arial"/>
          <w:b/>
          <w:i/>
          <w:sz w:val="20"/>
          <w:szCs w:val="20"/>
        </w:rPr>
        <w:t>ROMULO RAMALHO FARIAS</w:t>
      </w:r>
    </w:p>
    <w:p>
      <w:pPr>
        <w:pStyle w:val="Normal"/>
        <w:ind w:hanging="1" w:left="-1" w:right="51"/>
        <w:jc w:val="center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Secretário de Obras, Serviços e Desenvolvimento Urbano</w:t>
      </w:r>
    </w:p>
    <w:p>
      <w:pPr>
        <w:pStyle w:val="Normal"/>
        <w:ind w:hanging="1" w:left="-1" w:right="51"/>
        <w:jc w:val="center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CREA 179716/D</w:t>
      </w:r>
    </w:p>
    <w:p>
      <w:pPr>
        <w:pStyle w:val="Normal"/>
        <w:ind w:hanging="1" w:left="-1" w:right="51"/>
        <w:jc w:val="center"/>
        <w:rPr/>
      </w:pPr>
      <w:r>
        <w:rPr>
          <w:rStyle w:val="Strong"/>
          <w:rFonts w:cs="Arial"/>
          <w:b/>
          <w:i/>
          <w:iCs/>
          <w:sz w:val="20"/>
          <w:szCs w:val="20"/>
        </w:rPr>
        <w:t>Portaria 14.387/2024</w:t>
      </w:r>
    </w:p>
    <w:p>
      <w:pPr>
        <w:pStyle w:val="Normal"/>
        <w:spacing w:lineRule="auto" w:line="360"/>
        <w:ind w:hanging="1" w:left="-1" w:right="0"/>
        <w:jc w:val="center"/>
        <w:rPr>
          <w:b/>
          <w:color w:val="980000"/>
        </w:rPr>
      </w:pPr>
      <w:r>
        <w:rPr>
          <w:b/>
          <w:color w:val="980000"/>
        </w:rPr>
      </w:r>
    </w:p>
    <w:sectPr>
      <w:headerReference w:type="default" r:id="rId2"/>
      <w:footerReference w:type="default" r:id="rId3"/>
      <w:type w:val="nextPage"/>
      <w:pgSz w:w="11906" w:h="16838"/>
      <w:pgMar w:left="1134" w:right="1701" w:gutter="0" w:header="720" w:top="2410" w:footer="720" w:bottom="992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 Light">
    <w:charset w:val="00"/>
    <w:family w:val="roman"/>
    <w:pitch w:val="variable"/>
  </w:font>
  <w:font w:name="Segoe UI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Nyala">
    <w:charset w:val="00"/>
    <w:family w:val="roman"/>
    <w:pitch w:val="variable"/>
  </w:font>
  <w:font w:name="Georgia">
    <w:charset w:val="00"/>
    <w:family w:val="roman"/>
    <w:pitch w:val="variable"/>
  </w:font>
  <w:font w:name="Algerian">
    <w:altName w:val="comic"/>
    <w:charset w:val="00"/>
    <w:family w:val="roman"/>
    <w:pitch w:val="variable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both"/>
      <w:rPr>
        <w:sz w:val="14"/>
        <w:szCs w:val="14"/>
      </w:rPr>
    </w:pPr>
    <w:r>
      <w:rPr>
        <w:sz w:val="14"/>
        <w:szCs w:val="14"/>
      </w:rPr>
      <w:t xml:space="preserve">                                            </w:t>
    </w:r>
    <w:r>
      <w:rPr>
        <w:sz w:val="14"/>
        <w:szCs w:val="14"/>
      </w:rPr>
      <w:t>Rua Frei Rafael Proner  nº 1457 – Caixa Postal 281 – CEP 86.360-000 –– Tel: (43) 3542-4525 – Fax 3542-3322  e CNPJ 76.235.753/0001-48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20"/>
        <w:tab w:val="center" w:pos="4252" w:leader="none"/>
        <w:tab w:val="right" w:pos="8504" w:leader="none"/>
      </w:tabs>
      <w:spacing w:lineRule="auto" w:line="240"/>
      <w:ind w:hanging="2" w:left="0"/>
      <w:rPr>
        <w:color w:val="000000"/>
      </w:rPr>
    </w:pPr>
    <w:r>
      <w:rPr>
        <w:color w:val="000000"/>
      </w:rPr>
      <w:drawing>
        <wp:anchor behindDoc="1" distT="0" distB="0" distL="0" distR="0" simplePos="0" locked="0" layoutInCell="1" allowOverlap="1" relativeHeight="10">
          <wp:simplePos x="0" y="0"/>
          <wp:positionH relativeFrom="column">
            <wp:posOffset>-269240</wp:posOffset>
          </wp:positionH>
          <wp:positionV relativeFrom="paragraph">
            <wp:posOffset>-152400</wp:posOffset>
          </wp:positionV>
          <wp:extent cx="1003300" cy="1193800"/>
          <wp:effectExtent l="0" t="0" r="0" b="0"/>
          <wp:wrapNone/>
          <wp:docPr id="2" name="image1.pn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03300" cy="1193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mc:AlternateContent>
        <mc:Choice Requires="wps">
          <w:drawing>
            <wp:anchor behindDoc="1" distT="0" distB="0" distL="0" distR="0" simplePos="0" locked="0" layoutInCell="1" allowOverlap="1" relativeHeight="27">
              <wp:simplePos x="0" y="0"/>
              <wp:positionH relativeFrom="column">
                <wp:posOffset>774700</wp:posOffset>
              </wp:positionH>
              <wp:positionV relativeFrom="paragraph">
                <wp:posOffset>-152400</wp:posOffset>
              </wp:positionV>
              <wp:extent cx="6139815" cy="1000125"/>
              <wp:effectExtent l="0" t="0" r="0" b="0"/>
              <wp:wrapNone/>
              <wp:docPr id="3" name="Retângulo 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9800" cy="10000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lineRule="auto" w:line="240" w:before="360" w:after="0"/>
                            <w:ind w:hanging="4" w:left="2"/>
                            <w:jc w:val="both"/>
                            <w:rPr/>
                          </w:pPr>
                          <w:r>
                            <w:rPr>
                              <w:rFonts w:eastAsia="Algerian" w:cs="Algerian" w:ascii="Algerian" w:hAnsi="Algerian"/>
                              <w:i/>
                              <w:color w:val="000000"/>
                              <w:sz w:val="44"/>
                            </w:rPr>
                            <w:t>PREFEITURA MUNICIPAL DE BANDEIRANTES</w:t>
                          </w:r>
                        </w:p>
                        <w:p>
                          <w:pPr>
                            <w:pStyle w:val="Contedodoquadro"/>
                            <w:spacing w:lineRule="auto" w:line="240" w:before="120" w:after="0"/>
                            <w:ind w:hanging="3" w:left="1"/>
                            <w:jc w:val="center"/>
                            <w:rPr/>
                          </w:pPr>
                          <w:r>
                            <w:rPr>
                              <w:rFonts w:eastAsia="Algerian" w:cs="Algerian" w:ascii="Algerian" w:hAnsi="Algerian"/>
                              <w:i/>
                              <w:color w:val="000000"/>
                              <w:sz w:val="32"/>
                            </w:rPr>
                            <w:t>ESTADO DO PARANÁ</w:t>
                          </w:r>
                        </w:p>
                        <w:p>
                          <w:pPr>
                            <w:pStyle w:val="Contedodoquadro"/>
                            <w:spacing w:lineRule="auto" w:line="240"/>
                            <w:ind w:hanging="2" w:left="0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</w:p>
                      </w:txbxContent>
                    </wps:txbx>
                    <wps:bodyPr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Retângulo 3" path="m0,0l-2147483645,0l-2147483645,-2147483646l0,-2147483646xe" stroked="f" o:allowincell="f" style="position:absolute;margin-left:61pt;margin-top:-12pt;width:483.4pt;height:78.7pt;mso-wrap-style:square;v-text-anchor:top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lineRule="auto" w:line="240" w:before="360" w:after="0"/>
                      <w:ind w:hanging="4" w:left="2"/>
                      <w:jc w:val="both"/>
                      <w:rPr/>
                    </w:pPr>
                    <w:r>
                      <w:rPr>
                        <w:rFonts w:eastAsia="Algerian" w:cs="Algerian" w:ascii="Algerian" w:hAnsi="Algerian"/>
                        <w:i/>
                        <w:color w:val="000000"/>
                        <w:sz w:val="44"/>
                      </w:rPr>
                      <w:t>PREFEITURA MUNICIPAL DE BANDEIRANTES</w:t>
                    </w:r>
                  </w:p>
                  <w:p>
                    <w:pPr>
                      <w:pStyle w:val="Contedodoquadro"/>
                      <w:spacing w:lineRule="auto" w:line="240" w:before="120" w:after="0"/>
                      <w:ind w:hanging="3" w:left="1"/>
                      <w:jc w:val="center"/>
                      <w:rPr/>
                    </w:pPr>
                    <w:r>
                      <w:rPr>
                        <w:rFonts w:eastAsia="Algerian" w:cs="Algerian" w:ascii="Algerian" w:hAnsi="Algerian"/>
                        <w:i/>
                        <w:color w:val="000000"/>
                        <w:sz w:val="32"/>
                      </w:rPr>
                      <w:t>ESTADO DO PARANÁ</w:t>
                    </w:r>
                  </w:p>
                  <w:p>
                    <w:pPr>
                      <w:pStyle w:val="Contedodoquadro"/>
                      <w:spacing w:lineRule="auto" w:line="240"/>
                      <w:ind w:hanging="2" w:left="0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</w:txbxContent>
              </v:textbox>
              <w10:wrap type="none"/>
            </v:rect>
          </w:pict>
        </mc:Fallback>
      </mc:AlternateContent>
    </w:r>
  </w:p>
  <w:p>
    <w:pPr>
      <w:pStyle w:val="Normal"/>
      <w:tabs>
        <w:tab w:val="clear" w:pos="720"/>
        <w:tab w:val="center" w:pos="4252" w:leader="none"/>
        <w:tab w:val="right" w:pos="8504" w:leader="none"/>
      </w:tabs>
      <w:spacing w:lineRule="auto" w:line="240"/>
      <w:ind w:hanging="2" w:left="0"/>
      <w:rPr>
        <w:color w:val="000000"/>
      </w:rPr>
    </w:pPr>
    <w:r>
      <w:rPr>
        <w:color w:val="00000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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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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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sz w:val="24"/>
        <w:szCs w:val="24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tLeast" w:line="1" w:before="0" w:after="0"/>
      <w:ind w:hanging="1" w:left="-1"/>
      <w:jc w:val="left"/>
      <w:textAlignment w:val="top"/>
      <w:outlineLvl w:val="0"/>
    </w:pPr>
    <w:rPr>
      <w:rFonts w:ascii="Times New Roman" w:hAnsi="Times New Roman" w:eastAsia="Times New Roman" w:cs="Times New Roman"/>
      <w:color w:val="auto"/>
      <w:kern w:val="0"/>
      <w:position w:val="-1"/>
      <w:sz w:val="24"/>
      <w:szCs w:val="24"/>
      <w:lang w:val="pt-BR" w:eastAsia="pt-BR" w:bidi="ar-SA"/>
    </w:rPr>
  </w:style>
  <w:style w:type="paragraph" w:styleId="Heading1">
    <w:name w:val="Heading 1"/>
    <w:basedOn w:val="Normal"/>
    <w:next w:val="Normal"/>
    <w:qFormat/>
    <w:pPr>
      <w:keepNext w:val="true"/>
      <w:ind w:left="3969"/>
      <w:jc w:val="both"/>
    </w:pPr>
    <w:rPr>
      <w:b/>
      <w:szCs w:val="20"/>
      <w:u w:val="single"/>
    </w:rPr>
  </w:style>
  <w:style w:type="paragraph" w:styleId="Heading2">
    <w:name w:val="Heading 2"/>
    <w:basedOn w:val="Normal"/>
    <w:next w:val="Normal"/>
    <w:qFormat/>
    <w:pPr>
      <w:keepNext w:val="true"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 w:val="true"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 w:val="true"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 w:val="true"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qFormat/>
    <w:pPr>
      <w:keepNext w:val="true"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qFormat/>
    <w:rPr>
      <w:w w:val="100"/>
      <w:position w:val="0"/>
      <w:sz w:val="24"/>
      <w:sz w:val="24"/>
      <w:szCs w:val="24"/>
      <w:effect w:val="none"/>
      <w:vertAlign w:val="baseline"/>
      <w:em w:val="none"/>
    </w:rPr>
  </w:style>
  <w:style w:type="character" w:styleId="RodapChar" w:customStyle="1">
    <w:name w:val="Rodapé Char"/>
    <w:qFormat/>
    <w:rPr>
      <w:w w:val="100"/>
      <w:position w:val="0"/>
      <w:sz w:val="24"/>
      <w:sz w:val="24"/>
      <w:szCs w:val="24"/>
      <w:effect w:val="none"/>
      <w:vertAlign w:val="baseline"/>
      <w:em w:val="none"/>
    </w:rPr>
  </w:style>
  <w:style w:type="character" w:styleId="TextodebaloChar" w:customStyle="1">
    <w:name w:val="Texto de balão Char"/>
    <w:qFormat/>
    <w:rPr>
      <w:rFonts w:ascii="Segoe UI" w:hAnsi="Segoe UI" w:cs="Segoe UI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Ttulo3Char" w:customStyle="1">
    <w:name w:val="Título 3 Char"/>
    <w:qFormat/>
    <w:rPr>
      <w:rFonts w:ascii="Calibri Light" w:hAnsi="Calibri Light" w:eastAsia="Times New Roman" w:cs="Times New Roman"/>
      <w:b/>
      <w:bCs/>
      <w:w w:val="100"/>
      <w:position w:val="0"/>
      <w:sz w:val="26"/>
      <w:sz w:val="26"/>
      <w:szCs w:val="26"/>
      <w:effect w:val="none"/>
      <w:vertAlign w:val="baseline"/>
      <w:em w:val="none"/>
    </w:rPr>
  </w:style>
  <w:style w:type="character" w:styleId="Recuodecorpodetexto3Char" w:customStyle="1">
    <w:name w:val="Recuo de corpo de texto 3 Char"/>
    <w:qFormat/>
    <w:rPr>
      <w:w w:val="100"/>
      <w:position w:val="0"/>
      <w:sz w:val="16"/>
      <w:sz w:val="16"/>
      <w:szCs w:val="16"/>
      <w:effect w:val="none"/>
      <w:vertAlign w:val="baseline"/>
      <w:em w:val="none"/>
    </w:rPr>
  </w:style>
  <w:style w:type="character" w:styleId="Strong">
    <w:name w:val="Strong"/>
    <w:qFormat/>
    <w:rPr>
      <w:b/>
      <w:bCs/>
    </w:rPr>
  </w:style>
  <w:style w:type="character" w:styleId="Marcadores">
    <w:name w:val="Marcadores"/>
    <w:qFormat/>
    <w:rPr>
      <w:rFonts w:ascii="OpenSymbol" w:hAnsi="OpenSymbol" w:eastAsia="OpenSymbol" w:cs="OpenSymbol"/>
    </w:rPr>
  </w:style>
  <w:style w:type="character" w:styleId="Smbolosdenumerao">
    <w:name w:val="Símbolos de numeração"/>
    <w:qFormat/>
    <w:rPr/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qFormat/>
    <w:pPr>
      <w:keepNext w:val="true"/>
      <w:keepLines/>
      <w:spacing w:before="480" w:after="120"/>
    </w:pPr>
    <w:rPr>
      <w:b/>
      <w:sz w:val="72"/>
      <w:szCs w:val="72"/>
    </w:rPr>
  </w:style>
  <w:style w:type="paragraph" w:styleId="BodyTextIndent">
    <w:name w:val="Body Text Indent"/>
    <w:basedOn w:val="Normal"/>
    <w:pPr>
      <w:ind w:firstLine="3118" w:left="851"/>
      <w:jc w:val="both"/>
    </w:pPr>
    <w:rPr>
      <w:sz w:val="28"/>
      <w:szCs w:val="20"/>
    </w:rPr>
  </w:style>
  <w:style w:type="paragraph" w:styleId="BodyTextIndent2">
    <w:name w:val="Body Text Indent 2"/>
    <w:basedOn w:val="Normal"/>
    <w:qFormat/>
    <w:pPr>
      <w:ind w:firstLine="2889" w:left="1080"/>
      <w:jc w:val="both"/>
    </w:pPr>
    <w:rPr>
      <w:bCs/>
      <w:sz w:val="25"/>
      <w:szCs w:val="28"/>
    </w:rPr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Normal"/>
    <w:qFormat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Footer">
    <w:name w:val="Footer"/>
    <w:basedOn w:val="Normal"/>
    <w:qFormat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BalloonText">
    <w:name w:val="Balloon Text"/>
    <w:basedOn w:val="Normal"/>
    <w:qFormat/>
    <w:pPr/>
    <w:rPr>
      <w:rFonts w:ascii="Segoe UI" w:hAnsi="Segoe UI"/>
      <w:sz w:val="18"/>
      <w:szCs w:val="18"/>
    </w:rPr>
  </w:style>
  <w:style w:type="paragraph" w:styleId="BodyTextIndent3">
    <w:name w:val="Body Text Indent 3"/>
    <w:basedOn w:val="Normal"/>
    <w:qFormat/>
    <w:pPr>
      <w:spacing w:before="0" w:after="120"/>
      <w:ind w:left="283"/>
    </w:pPr>
    <w:rPr>
      <w:sz w:val="16"/>
      <w:szCs w:val="16"/>
    </w:rPr>
  </w:style>
  <w:style w:type="paragraph" w:styleId="Default" w:customStyle="1">
    <w:name w:val="Default"/>
    <w:qFormat/>
    <w:pPr>
      <w:widowControl/>
      <w:suppressAutoHyphens w:val="true"/>
      <w:bidi w:val="0"/>
      <w:spacing w:lineRule="atLeast" w:line="1" w:before="0" w:after="0"/>
      <w:ind w:hanging="1" w:left="-1"/>
      <w:jc w:val="left"/>
      <w:textAlignment w:val="top"/>
      <w:outlineLvl w:val="0"/>
    </w:pPr>
    <w:rPr>
      <w:rFonts w:ascii="Nyala" w:hAnsi="Nyala" w:eastAsia="Calibri" w:cs="Nyala"/>
      <w:color w:val="000000"/>
      <w:kern w:val="0"/>
      <w:position w:val="-1"/>
      <w:sz w:val="24"/>
      <w:szCs w:val="24"/>
      <w:lang w:val="pt-BR" w:eastAsia="en-US" w:bidi="ar-SA"/>
    </w:rPr>
  </w:style>
  <w:style w:type="paragraph" w:styleId="Subtitle">
    <w:name w:val="Subtitle"/>
    <w:basedOn w:val="Normal"/>
    <w:next w:val="Normal"/>
    <w:qFormat/>
    <w:pPr>
      <w:keepNext w:val="true"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Contedodoquadro">
    <w:name w:val="Conteúdo do quadro"/>
    <w:basedOn w:val="Normal"/>
    <w:qFormat/>
    <w:pPr/>
    <w:rPr/>
  </w:style>
  <w:style w:type="paragraph" w:styleId="Linhahorizontal">
    <w:name w:val="Linha horizontal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  <w:style w:type="paragraph" w:styleId="Contedodatabela">
    <w:name w:val="Conteúdo da tabela"/>
    <w:basedOn w:val="Normal"/>
    <w:qFormat/>
    <w:pPr>
      <w:widowControl w:val="false"/>
      <w:suppressLineNumbers/>
    </w:pPr>
    <w:rPr/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roundtripDataSignature="AMtx7mhntcHSairM9QTtieFN58MAzFcMjw==">AMUW2mVPyfKu3KjpVqnlyxPlD3Xm43oYp56W6M3ymJ2HnoCJC9z84tNoTonBy/KwhAJFo55cON+xUxNW4VXnulePCDBUQDAcaOW98AGpIwCqz9YimtNyhxg=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Application>LibreOffice/7.6.2.1$Windows_X86_64 LibreOffice_project/56f7684011345957bbf33a7ee678afaf4d2ba333</Application>
  <AppVersion>15.0000</AppVersion>
  <DocSecurity>8</DocSecurity>
  <Pages>9</Pages>
  <Words>2680</Words>
  <Characters>15868</Characters>
  <CharactersWithSpaces>18438</CharactersWithSpaces>
  <Paragraphs>150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2023-06-13T11:24:00Z</dcterms:created>
  <dc:creator>x</dc:creator>
  <dc:description/>
  <dc:language>pt-BR</dc:language>
  <cp:lastModifiedBy/>
  <dcterms:modified xsi:type="dcterms:W3CDTF">2025-07-09T09:29:40Z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